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96" w:rsidRPr="00C72560" w:rsidRDefault="003B798B" w:rsidP="00921DBA">
      <w:pPr>
        <w:jc w:val="center"/>
        <w:rPr>
          <w:b/>
          <w:sz w:val="24"/>
          <w:szCs w:val="24"/>
        </w:rPr>
      </w:pPr>
      <w:r w:rsidRPr="00C72560">
        <w:rPr>
          <w:b/>
          <w:sz w:val="24"/>
          <w:szCs w:val="24"/>
        </w:rPr>
        <w:t>Metoda konstrukce na základě algebraických výrazů.</w:t>
      </w:r>
    </w:p>
    <w:p w:rsidR="003B798B" w:rsidRPr="00C72560" w:rsidRDefault="003B798B">
      <w:pPr>
        <w:rPr>
          <w:sz w:val="24"/>
          <w:szCs w:val="24"/>
        </w:rPr>
      </w:pPr>
      <w:r w:rsidRPr="00C72560">
        <w:rPr>
          <w:sz w:val="24"/>
          <w:szCs w:val="24"/>
        </w:rPr>
        <w:t>Nejjednodušším případem je řešení konstrukčních úloh, v nichž máme sestrojit úsečku, jejíž velikost závisí na velikostech daných úseček, přičemž tento vztah je dán algebraickým výrazem.</w:t>
      </w:r>
    </w:p>
    <w:p w:rsidR="003B798B" w:rsidRPr="00C72560" w:rsidRDefault="003B798B">
      <w:pPr>
        <w:rPr>
          <w:sz w:val="24"/>
          <w:szCs w:val="24"/>
        </w:rPr>
      </w:pPr>
    </w:p>
    <w:p w:rsidR="003B798B" w:rsidRPr="00C72560" w:rsidRDefault="003B798B">
      <w:pPr>
        <w:rPr>
          <w:rFonts w:eastAsiaTheme="minorEastAsia"/>
          <w:sz w:val="24"/>
          <w:szCs w:val="24"/>
        </w:rPr>
      </w:pPr>
      <w:r w:rsidRPr="00C72560">
        <w:rPr>
          <w:sz w:val="24"/>
          <w:szCs w:val="24"/>
        </w:rPr>
        <w:t xml:space="preserve">Jsou dány úsečky o velikostech </w:t>
      </w:r>
      <m:oMath>
        <m:r>
          <w:rPr>
            <w:rFonts w:ascii="Cambria Math" w:hAnsi="Cambria Math"/>
            <w:sz w:val="24"/>
            <w:szCs w:val="24"/>
          </w:rPr>
          <m:t>a, b, c</m:t>
        </m:r>
      </m:oMath>
      <w:r w:rsidRPr="00C72560">
        <w:rPr>
          <w:rFonts w:eastAsiaTheme="minorEastAsia"/>
          <w:sz w:val="24"/>
          <w:szCs w:val="24"/>
        </w:rPr>
        <w:t>. Sestrojte úsečku o velikosti x, jestliže platí:</w:t>
      </w:r>
    </w:p>
    <w:p w:rsidR="003B798B" w:rsidRPr="00C72560" w:rsidRDefault="003B798B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2560">
        <w:rPr>
          <w:sz w:val="24"/>
          <w:szCs w:val="24"/>
        </w:rPr>
        <w:t xml:space="preserve">Součet, rozdíl: </w:t>
      </w:r>
      <m:oMath>
        <m:r>
          <w:rPr>
            <w:rFonts w:ascii="Cambria Math" w:hAnsi="Cambria Math"/>
            <w:sz w:val="24"/>
            <w:szCs w:val="24"/>
          </w:rPr>
          <m:t>x=  a+b, x=  a-b</m:t>
        </m:r>
      </m:oMath>
      <w:r w:rsidRPr="00C72560">
        <w:rPr>
          <w:rFonts w:eastAsiaTheme="minorEastAsia"/>
          <w:sz w:val="24"/>
          <w:szCs w:val="24"/>
        </w:rPr>
        <w:t>.</w:t>
      </w:r>
    </w:p>
    <w:p w:rsidR="003B798B" w:rsidRPr="00AC4D84" w:rsidRDefault="00B50245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2560">
        <w:rPr>
          <w:rFonts w:eastAsiaTheme="minorEastAsia"/>
          <w:sz w:val="24"/>
          <w:szCs w:val="24"/>
        </w:rPr>
        <w:t>Čtvrt</w:t>
      </w:r>
      <w:r w:rsidR="003B798B" w:rsidRPr="00C72560">
        <w:rPr>
          <w:rFonts w:eastAsiaTheme="minorEastAsia"/>
          <w:sz w:val="24"/>
          <w:szCs w:val="24"/>
        </w:rPr>
        <w:t>á geometrická úměrná</w:t>
      </w:r>
      <w:r w:rsidR="004C4540" w:rsidRPr="00C72560">
        <w:rPr>
          <w:rFonts w:eastAsiaTheme="minorEastAsia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a∙b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</m:oMath>
      <w:r w:rsidR="004C4540" w:rsidRPr="00C72560">
        <w:rPr>
          <w:rFonts w:eastAsiaTheme="minorEastAsia"/>
          <w:sz w:val="24"/>
          <w:szCs w:val="24"/>
        </w:rPr>
        <w:t>.</w:t>
      </w:r>
    </w:p>
    <w:p w:rsidR="00AC4D84" w:rsidRPr="00C72560" w:rsidRDefault="00AC4D84" w:rsidP="00AC4D8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1600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45" w:rsidRPr="00C72560" w:rsidRDefault="00B50245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x=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C72560">
        <w:rPr>
          <w:rFonts w:eastAsiaTheme="minorEastAsia"/>
          <w:sz w:val="24"/>
          <w:szCs w:val="24"/>
        </w:rPr>
        <w:t xml:space="preserve">Podle Pythagorovy věty, je-li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</m:oMath>
      <w:r w:rsidRPr="00C72560">
        <w:rPr>
          <w:rFonts w:eastAsiaTheme="minorEastAsia"/>
          <w:sz w:val="24"/>
          <w:szCs w:val="24"/>
        </w:rPr>
        <w:t xml:space="preserve">velikost přepony pravoúhlého trojúhelníku o odvěsnách velikosti  </w:t>
      </w:r>
      <m:oMath>
        <m:r>
          <w:rPr>
            <w:rFonts w:ascii="Cambria Math" w:eastAsiaTheme="minorEastAsia" w:hAnsi="Cambria Math"/>
            <w:sz w:val="24"/>
            <w:szCs w:val="24"/>
          </w:rPr>
          <m:t>a,b</m:t>
        </m:r>
      </m:oMath>
      <w:r w:rsidRPr="00C72560">
        <w:rPr>
          <w:rFonts w:eastAsiaTheme="minorEastAsia"/>
          <w:sz w:val="24"/>
          <w:szCs w:val="24"/>
        </w:rPr>
        <w:t>.</w:t>
      </w:r>
    </w:p>
    <w:p w:rsidR="00B50245" w:rsidRPr="00C72560" w:rsidRDefault="004C4540" w:rsidP="00B50245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x=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="00B50245" w:rsidRPr="00C72560">
        <w:rPr>
          <w:rFonts w:eastAsiaTheme="minorEastAsia"/>
          <w:sz w:val="24"/>
          <w:szCs w:val="24"/>
        </w:rPr>
        <w:t xml:space="preserve">Podle Pythagorovy věty, je-li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B50245" w:rsidRPr="00C72560">
        <w:rPr>
          <w:rFonts w:eastAsiaTheme="minorEastAsia"/>
          <w:sz w:val="24"/>
          <w:szCs w:val="24"/>
        </w:rPr>
        <w:t xml:space="preserve"> velikost odvěsny pravoúhlého trojúhelníku o přeponě velikosti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50245" w:rsidRPr="00C72560">
        <w:rPr>
          <w:rFonts w:eastAsiaTheme="minorEastAsia"/>
          <w:sz w:val="24"/>
          <w:szCs w:val="24"/>
        </w:rPr>
        <w:t xml:space="preserve"> a jedné odvěsně velikosti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B50245" w:rsidRPr="00C72560">
        <w:rPr>
          <w:rFonts w:eastAsiaTheme="minorEastAsia"/>
          <w:sz w:val="24"/>
          <w:szCs w:val="24"/>
        </w:rPr>
        <w:t>.</w:t>
      </w:r>
    </w:p>
    <w:p w:rsidR="00B50245" w:rsidRDefault="004C4540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x=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 ∙b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;a :x=x :b</m:t>
        </m:r>
      </m:oMath>
      <w:r w:rsidRPr="00C72560">
        <w:rPr>
          <w:rFonts w:eastAsiaTheme="minorEastAsia"/>
          <w:sz w:val="24"/>
          <w:szCs w:val="24"/>
        </w:rPr>
        <w:t xml:space="preserve">. </w:t>
      </w:r>
      <w:r w:rsidR="00B50245" w:rsidRPr="00C72560">
        <w:rPr>
          <w:sz w:val="24"/>
          <w:szCs w:val="24"/>
        </w:rPr>
        <w:t xml:space="preserve"> Střední geometrická úměrná (geome</w:t>
      </w:r>
      <w:r w:rsidRPr="00C72560">
        <w:rPr>
          <w:sz w:val="24"/>
          <w:szCs w:val="24"/>
        </w:rPr>
        <w:t>trický průměr); konstrukce s použitím</w:t>
      </w:r>
      <w:r w:rsidR="00B50245" w:rsidRPr="00C72560">
        <w:rPr>
          <w:sz w:val="24"/>
          <w:szCs w:val="24"/>
        </w:rPr>
        <w:t xml:space="preserve"> Euklidovy věty o výšce, resp. o odvěsně.</w:t>
      </w:r>
    </w:p>
    <w:p w:rsidR="00AC4D84" w:rsidRPr="00AC4D84" w:rsidRDefault="00AC4D84" w:rsidP="00AC4D8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410075" cy="2809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45" w:rsidRPr="00C72560" w:rsidRDefault="0076557B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x=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a.</m:t>
        </m:r>
      </m:oMath>
      <w:r w:rsidRPr="00C72560">
        <w:rPr>
          <w:rFonts w:eastAsiaTheme="minorEastAsia"/>
          <w:sz w:val="24"/>
          <w:szCs w:val="24"/>
        </w:rPr>
        <w:t xml:space="preserve"> </w:t>
      </w:r>
      <w:r w:rsidR="00B50245" w:rsidRPr="00C72560">
        <w:rPr>
          <w:sz w:val="24"/>
          <w:szCs w:val="24"/>
        </w:rPr>
        <w:t xml:space="preserve">Velikost úhlopříčky čtverce o straně velikosti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C72560">
        <w:rPr>
          <w:rFonts w:eastAsiaTheme="minorEastAsia"/>
          <w:sz w:val="24"/>
          <w:szCs w:val="24"/>
        </w:rPr>
        <w:t>.</w:t>
      </w:r>
    </w:p>
    <w:p w:rsidR="00B50245" w:rsidRPr="00D87EFB" w:rsidRDefault="0076557B" w:rsidP="003B798B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a</m:t>
        </m:r>
      </m:oMath>
      <w:r w:rsidRPr="00C72560">
        <w:rPr>
          <w:rFonts w:eastAsiaTheme="minorEastAsia"/>
          <w:sz w:val="24"/>
          <w:szCs w:val="24"/>
        </w:rPr>
        <w:t xml:space="preserve">. </w:t>
      </w:r>
      <w:r w:rsidR="00B50245" w:rsidRPr="00C72560">
        <w:rPr>
          <w:sz w:val="24"/>
          <w:szCs w:val="24"/>
        </w:rPr>
        <w:t xml:space="preserve">Velikost výšky rovnostranného trojúhelníku o straně velikosti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C72560">
        <w:rPr>
          <w:rFonts w:eastAsiaTheme="minorEastAsia"/>
          <w:sz w:val="24"/>
          <w:szCs w:val="24"/>
        </w:rPr>
        <w:t>.</w:t>
      </w:r>
    </w:p>
    <w:p w:rsidR="00D87EFB" w:rsidRDefault="00D87EFB" w:rsidP="00D87EF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552700" cy="3048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6D" w:rsidRPr="00C72560" w:rsidRDefault="00DA0D6D" w:rsidP="00D87EF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514975" cy="17430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6D" w:rsidRDefault="00DA0D6D" w:rsidP="00B50245">
      <w:pPr>
        <w:rPr>
          <w:sz w:val="24"/>
          <w:szCs w:val="24"/>
        </w:rPr>
      </w:pPr>
    </w:p>
    <w:p w:rsidR="00B50245" w:rsidRPr="00C72560" w:rsidRDefault="00B50245" w:rsidP="00B50245">
      <w:pPr>
        <w:rPr>
          <w:sz w:val="24"/>
          <w:szCs w:val="24"/>
        </w:rPr>
      </w:pPr>
      <w:r w:rsidRPr="00C72560">
        <w:rPr>
          <w:sz w:val="24"/>
          <w:szCs w:val="24"/>
        </w:rPr>
        <w:lastRenderedPageBreak/>
        <w:t>Všechny algebraické výrazy konstruujeme na základě těchto konstrukcí.</w:t>
      </w:r>
    </w:p>
    <w:p w:rsidR="00B50245" w:rsidRPr="00C72560" w:rsidRDefault="00B50245" w:rsidP="00B50245">
      <w:pPr>
        <w:rPr>
          <w:sz w:val="24"/>
          <w:szCs w:val="24"/>
        </w:rPr>
      </w:pPr>
      <w:r w:rsidRPr="00C72560">
        <w:rPr>
          <w:sz w:val="24"/>
          <w:szCs w:val="24"/>
        </w:rPr>
        <w:t>Přidáme ještě další vlastnosti a z tohoto plynoucí konstrukce</w:t>
      </w:r>
      <w:r w:rsidR="005E3542" w:rsidRPr="00C72560">
        <w:rPr>
          <w:sz w:val="24"/>
          <w:szCs w:val="24"/>
        </w:rPr>
        <w:t>.</w:t>
      </w:r>
    </w:p>
    <w:p w:rsidR="005E3542" w:rsidRPr="00C72560" w:rsidRDefault="005E3542" w:rsidP="005E35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2560">
        <w:rPr>
          <w:sz w:val="24"/>
          <w:szCs w:val="24"/>
        </w:rPr>
        <w:t>Dělení úsečky</w:t>
      </w:r>
      <w:r w:rsidR="0076557B" w:rsidRPr="00C72560">
        <w:rPr>
          <w:sz w:val="24"/>
          <w:szCs w:val="24"/>
        </w:rPr>
        <w:t>, tj.</w:t>
      </w:r>
      <w:r w:rsidRPr="00C72560">
        <w:rPr>
          <w:sz w:val="24"/>
          <w:szCs w:val="24"/>
        </w:rPr>
        <w:t xml:space="preserve"> bodem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72560">
        <w:rPr>
          <w:sz w:val="24"/>
          <w:szCs w:val="24"/>
        </w:rPr>
        <w:t xml:space="preserve"> rozdělte úsečku</w:t>
      </w:r>
      <m:oMath>
        <m:r>
          <w:rPr>
            <w:rFonts w:ascii="Cambria Math" w:hAnsi="Cambria Math"/>
            <w:sz w:val="24"/>
            <w:szCs w:val="24"/>
          </w:rPr>
          <m:t xml:space="preserve"> AB</m:t>
        </m:r>
      </m:oMath>
      <w:r w:rsidRPr="00C72560">
        <w:rPr>
          <w:sz w:val="24"/>
          <w:szCs w:val="24"/>
        </w:rPr>
        <w:t xml:space="preserve"> </w:t>
      </w:r>
      <w:r w:rsidR="00AC4D84">
        <w:rPr>
          <w:sz w:val="24"/>
          <w:szCs w:val="24"/>
        </w:rPr>
        <w:t xml:space="preserve"> např. </w:t>
      </w:r>
      <w:r w:rsidRPr="00C72560">
        <w:rPr>
          <w:sz w:val="24"/>
          <w:szCs w:val="24"/>
        </w:rPr>
        <w:t xml:space="preserve">v poměru </w:t>
      </w:r>
      <m:oMath>
        <m:r>
          <w:rPr>
            <w:rFonts w:ascii="Cambria Math" w:hAnsi="Cambria Math"/>
            <w:sz w:val="24"/>
            <w:szCs w:val="24"/>
          </w:rPr>
          <m:t>3:1</m:t>
        </m:r>
      </m:oMath>
      <w:r w:rsidRPr="00C72560">
        <w:rPr>
          <w:sz w:val="24"/>
          <w:szCs w:val="24"/>
        </w:rPr>
        <w:t xml:space="preserve"> (užitím podobnosti trojúhelníku).</w:t>
      </w:r>
    </w:p>
    <w:p w:rsidR="005E3542" w:rsidRDefault="005E3542" w:rsidP="005E3542">
      <w:pPr>
        <w:rPr>
          <w:sz w:val="24"/>
          <w:szCs w:val="24"/>
        </w:rPr>
      </w:pPr>
      <w:r w:rsidRPr="00C72560">
        <w:rPr>
          <w:sz w:val="24"/>
          <w:szCs w:val="24"/>
        </w:rPr>
        <w:t>Pozn.: Je-li úsečka rozdělena bodem na dvě části tak, že poměr menší části k větší části je stejný jako poměr větší části k celé úsečce, pak říkáme, že úsečka je rozdělena „</w:t>
      </w:r>
      <w:r w:rsidRPr="00C72560">
        <w:rPr>
          <w:b/>
          <w:sz w:val="24"/>
          <w:szCs w:val="24"/>
        </w:rPr>
        <w:t>zlatým řezem</w:t>
      </w:r>
      <w:r w:rsidRPr="00C72560">
        <w:rPr>
          <w:sz w:val="24"/>
          <w:szCs w:val="24"/>
        </w:rPr>
        <w:t>“.</w:t>
      </w:r>
    </w:p>
    <w:p w:rsidR="002755B0" w:rsidRDefault="002755B0" w:rsidP="005E354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171950" cy="2510066"/>
            <wp:effectExtent l="0" t="0" r="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81" cy="25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FB" w:rsidRDefault="00D87EFB" w:rsidP="005E354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62225" cy="1781175"/>
            <wp:effectExtent l="0" t="0" r="9525" b="9525"/>
            <wp:docPr id="5" name="Obrázek 5" descr="C:\Users\skodovam\AppData\Local\Microsoft\Windows\INetCache\Content.MSO\C4D07A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dovam\AppData\Local\Microsoft\Windows\INetCache\Content.MSO\C4D07AE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67000" cy="1714500"/>
            <wp:effectExtent l="0" t="0" r="0" b="0"/>
            <wp:docPr id="6" name="Obrázek 6" descr="Zlatý řez - Vojtěch Hordějč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latý řez - Vojtěch Hordějču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FB" w:rsidRPr="00C72560" w:rsidRDefault="00D87EFB" w:rsidP="005E3542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762375" cy="2286000"/>
            <wp:effectExtent l="0" t="0" r="9525" b="0"/>
            <wp:docPr id="4" name="Obrázek 4" descr="Rockové klávesy - Fibonacciho posloupnost a zlatý řez v hudbě - muzik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kové klávesy - Fibonacciho posloupnost a zlatý řez v hudbě - muzikus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42" w:rsidRPr="00C72560" w:rsidRDefault="00D87EFB" w:rsidP="005E354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762375" cy="2333625"/>
            <wp:effectExtent l="0" t="0" r="9525" b="9525"/>
            <wp:docPr id="3" name="Obrázek 3" descr="Rockové klávesy - Fibonacciho posloupnost a zlatý řez v hudb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ové klávesy - Fibonacciho posloupnost a zlatý řez v hudbě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42" w:rsidRDefault="005E3542" w:rsidP="005E3542">
      <w:pPr>
        <w:rPr>
          <w:rFonts w:eastAsiaTheme="minorEastAsia"/>
          <w:sz w:val="24"/>
          <w:szCs w:val="24"/>
        </w:rPr>
      </w:pPr>
      <w:r w:rsidRPr="00C72560">
        <w:rPr>
          <w:b/>
          <w:sz w:val="24"/>
          <w:szCs w:val="24"/>
        </w:rPr>
        <w:t>Def.:</w:t>
      </w:r>
      <w:r w:rsidRPr="00C72560">
        <w:rPr>
          <w:sz w:val="24"/>
          <w:szCs w:val="24"/>
        </w:rPr>
        <w:t xml:space="preserve"> Nechť </w:t>
      </w:r>
      <m:oMath>
        <m:r>
          <w:rPr>
            <w:rFonts w:ascii="Cambria Math" w:hAnsi="Cambria Math"/>
            <w:sz w:val="24"/>
            <w:szCs w:val="24"/>
          </w:rPr>
          <m:t>A, B, C</m:t>
        </m:r>
      </m:oMath>
      <w:r w:rsidRPr="00C72560">
        <w:rPr>
          <w:rFonts w:eastAsiaTheme="minorEastAsia"/>
          <w:sz w:val="24"/>
          <w:szCs w:val="24"/>
        </w:rPr>
        <w:t xml:space="preserve"> jsou tři různé body přímky. </w:t>
      </w:r>
      <w:r w:rsidRPr="00C72560">
        <w:rPr>
          <w:rFonts w:eastAsiaTheme="minorEastAsia"/>
          <w:b/>
          <w:sz w:val="24"/>
          <w:szCs w:val="24"/>
        </w:rPr>
        <w:t>Dělicí poměr</w:t>
      </w:r>
      <w:r w:rsidRPr="00C72560">
        <w:rPr>
          <w:rFonts w:eastAsiaTheme="minorEastAsia"/>
          <w:sz w:val="24"/>
          <w:szCs w:val="24"/>
        </w:rPr>
        <w:t xml:space="preserve"> bodu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C72560">
        <w:rPr>
          <w:rFonts w:eastAsiaTheme="minorEastAsia"/>
          <w:sz w:val="24"/>
          <w:szCs w:val="24"/>
        </w:rPr>
        <w:t xml:space="preserve"> vzhledem k bodům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C72560">
        <w:rPr>
          <w:rFonts w:eastAsiaTheme="minorEastAsia"/>
          <w:sz w:val="24"/>
          <w:szCs w:val="24"/>
        </w:rPr>
        <w:t xml:space="preserve">, který značíme </w:t>
      </w:r>
      <m:oMath>
        <m:r>
          <w:rPr>
            <w:rFonts w:ascii="Cambria Math" w:eastAsiaTheme="minorEastAsia" w:hAnsi="Cambria Math"/>
            <w:sz w:val="24"/>
            <w:szCs w:val="24"/>
          </w:rPr>
          <m:t>(ABC)</m:t>
        </m:r>
      </m:oMath>
      <w:r w:rsidR="0076557B" w:rsidRPr="00C72560">
        <w:rPr>
          <w:rFonts w:eastAsiaTheme="minorEastAsia"/>
          <w:sz w:val="24"/>
          <w:szCs w:val="24"/>
        </w:rPr>
        <w:t xml:space="preserve">, je reálné číslo </w:t>
      </w:r>
      <m:oMath>
        <m:r>
          <w:rPr>
            <w:rFonts w:ascii="Cambria Math" w:eastAsiaTheme="minorEastAsia" w:hAnsi="Cambria Math"/>
            <w:sz w:val="24"/>
            <w:szCs w:val="24"/>
          </w:rPr>
          <m:t>λ</m:t>
        </m:r>
      </m:oMath>
      <w:r w:rsidRPr="00C72560">
        <w:rPr>
          <w:rFonts w:eastAsiaTheme="minorEastAsia"/>
          <w:sz w:val="24"/>
          <w:szCs w:val="24"/>
        </w:rPr>
        <w:t>, jehož absolutní hodnota je rovna poměru úseček</w:t>
      </w:r>
      <w:r w:rsidR="0076557B" w:rsidRPr="00C72560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: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BC</m:t>
            </m:r>
          </m:e>
        </m:d>
      </m:oMath>
      <w:r w:rsidR="0076557B" w:rsidRPr="00C72560">
        <w:rPr>
          <w:rFonts w:eastAsiaTheme="minorEastAsia"/>
          <w:sz w:val="24"/>
          <w:szCs w:val="24"/>
        </w:rPr>
        <w:t xml:space="preserve"> </w:t>
      </w:r>
      <w:r w:rsidRPr="00C72560">
        <w:rPr>
          <w:rFonts w:eastAsiaTheme="minorEastAsia"/>
          <w:sz w:val="24"/>
          <w:szCs w:val="24"/>
        </w:rPr>
        <w:t xml:space="preserve">a které je kladné, leží-li bod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C72560">
        <w:rPr>
          <w:rFonts w:eastAsiaTheme="minorEastAsia"/>
          <w:sz w:val="24"/>
          <w:szCs w:val="24"/>
        </w:rPr>
        <w:t xml:space="preserve"> vně úsečky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Pr="00C72560">
        <w:rPr>
          <w:rFonts w:eastAsiaTheme="minorEastAsia"/>
          <w:sz w:val="24"/>
          <w:szCs w:val="24"/>
        </w:rPr>
        <w:t xml:space="preserve"> a záporné, leží-li bod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C72560">
        <w:rPr>
          <w:rFonts w:eastAsiaTheme="minorEastAsia"/>
          <w:sz w:val="24"/>
          <w:szCs w:val="24"/>
        </w:rPr>
        <w:t xml:space="preserve"> uvnitř úsečky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Pr="00C72560">
        <w:rPr>
          <w:rFonts w:eastAsiaTheme="minorEastAsia"/>
          <w:sz w:val="24"/>
          <w:szCs w:val="24"/>
        </w:rPr>
        <w:t>.</w:t>
      </w:r>
    </w:p>
    <w:p w:rsidR="002742DC" w:rsidRDefault="002742DC" w:rsidP="005E3542">
      <w:pPr>
        <w:rPr>
          <w:rFonts w:eastAsiaTheme="minorEastAsia"/>
          <w:sz w:val="24"/>
          <w:szCs w:val="24"/>
        </w:rPr>
      </w:pPr>
      <w:r w:rsidRPr="002742DC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5760720" cy="2603047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542" w:rsidRPr="00C72560" w:rsidRDefault="005E3542" w:rsidP="005E3542">
      <w:pPr>
        <w:rPr>
          <w:rFonts w:eastAsiaTheme="minorEastAsia"/>
          <w:sz w:val="24"/>
          <w:szCs w:val="24"/>
        </w:rPr>
      </w:pPr>
      <w:r w:rsidRPr="00C72560">
        <w:rPr>
          <w:rFonts w:eastAsiaTheme="minorEastAsia"/>
          <w:b/>
          <w:sz w:val="24"/>
          <w:szCs w:val="24"/>
        </w:rPr>
        <w:lastRenderedPageBreak/>
        <w:t>V5.</w:t>
      </w:r>
      <w:r w:rsidRPr="00C72560">
        <w:rPr>
          <w:rFonts w:eastAsiaTheme="minorEastAsia"/>
          <w:sz w:val="24"/>
          <w:szCs w:val="24"/>
        </w:rPr>
        <w:t xml:space="preserve"> Jsou-li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C72560">
        <w:rPr>
          <w:rFonts w:eastAsiaTheme="minorEastAsia"/>
          <w:sz w:val="24"/>
          <w:szCs w:val="24"/>
        </w:rPr>
        <w:t xml:space="preserve"> dva navzájem různé body, pak každý bod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C72560">
        <w:rPr>
          <w:rFonts w:eastAsiaTheme="minorEastAsia"/>
          <w:sz w:val="24"/>
          <w:szCs w:val="24"/>
        </w:rPr>
        <w:t xml:space="preserve"> přímky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Pr="00C72560">
        <w:rPr>
          <w:rFonts w:eastAsiaTheme="minorEastAsia"/>
          <w:sz w:val="24"/>
          <w:szCs w:val="24"/>
        </w:rPr>
        <w:t xml:space="preserve"> různý</w:t>
      </w:r>
      <w:r w:rsidR="00921DBA" w:rsidRPr="00C72560">
        <w:rPr>
          <w:rFonts w:eastAsiaTheme="minorEastAsia"/>
          <w:sz w:val="24"/>
          <w:szCs w:val="24"/>
        </w:rPr>
        <w:t xml:space="preserve"> od bodů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="00921DBA" w:rsidRPr="00C72560">
        <w:rPr>
          <w:rFonts w:eastAsiaTheme="minorEastAsia"/>
          <w:sz w:val="24"/>
          <w:szCs w:val="24"/>
        </w:rPr>
        <w:t xml:space="preserve"> má vzhledem k bodům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="00921DBA" w:rsidRPr="00C72560">
        <w:rPr>
          <w:rFonts w:eastAsiaTheme="minorEastAsia"/>
          <w:sz w:val="24"/>
          <w:szCs w:val="24"/>
        </w:rPr>
        <w:t xml:space="preserve"> určitý dělicí poměr</w:t>
      </w:r>
      <w:r w:rsidR="0076557B" w:rsidRPr="00C7256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λ ≠1, 0</m:t>
        </m:r>
      </m:oMath>
      <w:r w:rsidR="00921DBA" w:rsidRPr="00C72560">
        <w:rPr>
          <w:rFonts w:eastAsiaTheme="minorEastAsia"/>
          <w:sz w:val="24"/>
          <w:szCs w:val="24"/>
        </w:rPr>
        <w:t xml:space="preserve">. Střed úsečky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="00921DBA" w:rsidRPr="00C72560">
        <w:rPr>
          <w:rFonts w:eastAsiaTheme="minorEastAsia"/>
          <w:sz w:val="24"/>
          <w:szCs w:val="24"/>
        </w:rPr>
        <w:t xml:space="preserve"> má vzhledem k jejím krajním bodům dělicí poměr rovný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921DBA" w:rsidRPr="00C72560">
        <w:rPr>
          <w:rFonts w:eastAsiaTheme="minorEastAsia"/>
          <w:sz w:val="24"/>
          <w:szCs w:val="24"/>
        </w:rPr>
        <w:t>.</w:t>
      </w:r>
    </w:p>
    <w:p w:rsidR="00921DBA" w:rsidRPr="00C72560" w:rsidRDefault="00921DBA" w:rsidP="005E3542">
      <w:pPr>
        <w:rPr>
          <w:rFonts w:eastAsiaTheme="minorEastAsia"/>
          <w:sz w:val="24"/>
          <w:szCs w:val="24"/>
        </w:rPr>
      </w:pPr>
      <w:r w:rsidRPr="00C72560">
        <w:rPr>
          <w:rFonts w:eastAsiaTheme="minorEastAsia"/>
          <w:b/>
          <w:sz w:val="24"/>
          <w:szCs w:val="24"/>
        </w:rPr>
        <w:t>V6.</w:t>
      </w:r>
      <w:r w:rsidRPr="00C72560">
        <w:rPr>
          <w:rFonts w:eastAsiaTheme="minorEastAsia"/>
          <w:sz w:val="24"/>
          <w:szCs w:val="24"/>
        </w:rPr>
        <w:t xml:space="preserve"> Dělicí poměr se </w:t>
      </w:r>
      <w:r w:rsidRPr="00C72560">
        <w:rPr>
          <w:rFonts w:eastAsiaTheme="minorEastAsia"/>
          <w:b/>
          <w:sz w:val="24"/>
          <w:szCs w:val="24"/>
        </w:rPr>
        <w:t>rovnoběžným</w:t>
      </w:r>
      <w:r w:rsidRPr="00C72560">
        <w:rPr>
          <w:rFonts w:eastAsiaTheme="minorEastAsia"/>
          <w:sz w:val="24"/>
          <w:szCs w:val="24"/>
        </w:rPr>
        <w:t xml:space="preserve"> promítáním </w:t>
      </w:r>
      <w:r w:rsidRPr="00C72560">
        <w:rPr>
          <w:rFonts w:eastAsiaTheme="minorEastAsia"/>
          <w:b/>
          <w:sz w:val="24"/>
          <w:szCs w:val="24"/>
        </w:rPr>
        <w:t>zachovává</w:t>
      </w:r>
      <w:r w:rsidRPr="00C72560">
        <w:rPr>
          <w:rFonts w:eastAsiaTheme="minorEastAsia"/>
          <w:sz w:val="24"/>
          <w:szCs w:val="24"/>
        </w:rPr>
        <w:t>.</w:t>
      </w:r>
    </w:p>
    <w:p w:rsidR="00921DBA" w:rsidRPr="00C72560" w:rsidRDefault="00921DBA" w:rsidP="00921DBA">
      <w:pPr>
        <w:rPr>
          <w:sz w:val="24"/>
          <w:szCs w:val="24"/>
        </w:rPr>
      </w:pPr>
      <w:r w:rsidRPr="00C72560">
        <w:rPr>
          <w:rFonts w:eastAsiaTheme="minorEastAsia"/>
          <w:b/>
          <w:sz w:val="24"/>
          <w:szCs w:val="24"/>
        </w:rPr>
        <w:t>V7.</w:t>
      </w:r>
      <w:r w:rsidRPr="00C72560">
        <w:rPr>
          <w:rFonts w:eastAsiaTheme="minorEastAsia"/>
          <w:sz w:val="24"/>
          <w:szCs w:val="24"/>
        </w:rPr>
        <w:t xml:space="preserve"> Dělicí poměr se </w:t>
      </w:r>
      <w:r w:rsidRPr="00C72560">
        <w:rPr>
          <w:rFonts w:eastAsiaTheme="minorEastAsia"/>
          <w:b/>
          <w:sz w:val="24"/>
          <w:szCs w:val="24"/>
        </w:rPr>
        <w:t>středovým</w:t>
      </w:r>
      <w:r w:rsidRPr="00C72560">
        <w:rPr>
          <w:rFonts w:eastAsiaTheme="minorEastAsia"/>
          <w:sz w:val="24"/>
          <w:szCs w:val="24"/>
        </w:rPr>
        <w:t xml:space="preserve"> promítáním </w:t>
      </w:r>
      <w:r w:rsidRPr="00C72560">
        <w:rPr>
          <w:rFonts w:eastAsiaTheme="minorEastAsia"/>
          <w:b/>
          <w:sz w:val="24"/>
          <w:szCs w:val="24"/>
        </w:rPr>
        <w:t>nezachovává</w:t>
      </w:r>
      <w:r w:rsidRPr="00C72560">
        <w:rPr>
          <w:rFonts w:eastAsiaTheme="minorEastAsia"/>
          <w:sz w:val="24"/>
          <w:szCs w:val="24"/>
        </w:rPr>
        <w:t>.</w:t>
      </w:r>
    </w:p>
    <w:p w:rsidR="00921DBA" w:rsidRPr="00C72560" w:rsidRDefault="00921DBA" w:rsidP="005E3542">
      <w:pPr>
        <w:rPr>
          <w:sz w:val="24"/>
          <w:szCs w:val="24"/>
        </w:rPr>
      </w:pPr>
    </w:p>
    <w:sectPr w:rsidR="00921DBA" w:rsidRPr="00C7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0047"/>
    <w:multiLevelType w:val="hybridMultilevel"/>
    <w:tmpl w:val="B358D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B"/>
    <w:rsid w:val="000F0B09"/>
    <w:rsid w:val="002742DC"/>
    <w:rsid w:val="002755B0"/>
    <w:rsid w:val="003B798B"/>
    <w:rsid w:val="004C4540"/>
    <w:rsid w:val="005E3542"/>
    <w:rsid w:val="0076557B"/>
    <w:rsid w:val="00921DBA"/>
    <w:rsid w:val="00AC4D84"/>
    <w:rsid w:val="00B50245"/>
    <w:rsid w:val="00C72560"/>
    <w:rsid w:val="00D72696"/>
    <w:rsid w:val="00D74194"/>
    <w:rsid w:val="00D87EFB"/>
    <w:rsid w:val="00D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29E"/>
  <w15:docId w15:val="{7A0DC1E1-350D-4164-A1A1-4390744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798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9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9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chodorova</dc:creator>
  <cp:lastModifiedBy>RNDr. Marie Chodorová, Ph.D.</cp:lastModifiedBy>
  <cp:revision>8</cp:revision>
  <dcterms:created xsi:type="dcterms:W3CDTF">2015-10-13T12:10:00Z</dcterms:created>
  <dcterms:modified xsi:type="dcterms:W3CDTF">2021-03-03T09:34:00Z</dcterms:modified>
</cp:coreProperties>
</file>