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2B" w:rsidRPr="00362EB4" w:rsidRDefault="00D54802">
      <w:pPr>
        <w:rPr>
          <w:b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Č</w:t>
      </w:r>
      <w:r w:rsidR="00085FB7" w:rsidRPr="00362EB4">
        <w:rPr>
          <w:b/>
          <w:color w:val="2F5496" w:themeColor="accent5" w:themeShade="BF"/>
          <w:sz w:val="28"/>
          <w:szCs w:val="28"/>
        </w:rPr>
        <w:t>tyřúhelníky</w:t>
      </w:r>
    </w:p>
    <w:p w:rsidR="00085FB7" w:rsidRPr="00362EB4" w:rsidRDefault="00085FB7" w:rsidP="00362EB4">
      <w:pPr>
        <w:jc w:val="both"/>
        <w:rPr>
          <w:sz w:val="28"/>
          <w:szCs w:val="28"/>
        </w:rPr>
      </w:pPr>
      <w:r w:rsidRPr="00362EB4">
        <w:rPr>
          <w:sz w:val="28"/>
          <w:szCs w:val="28"/>
        </w:rPr>
        <w:t>Čtyřúhelník je sjednocením dvou trojúhelníků bez společných vnitřních bodů</w:t>
      </w:r>
      <w:r w:rsidR="00D95B68" w:rsidRPr="00362EB4">
        <w:rPr>
          <w:sz w:val="28"/>
          <w:szCs w:val="28"/>
        </w:rPr>
        <w:t>, ale se společnou celou jednou stranou. (Krajní body společné strany nejsou přitom vnitřními body úsečky s krajními body, kterými jsou zbývající dva vrcholy každého z trojúhelníků.)</w:t>
      </w:r>
    </w:p>
    <w:p w:rsidR="00D95B68" w:rsidRPr="00362EB4" w:rsidRDefault="00D95B68">
      <w:pPr>
        <w:rPr>
          <w:sz w:val="28"/>
          <w:szCs w:val="28"/>
        </w:rPr>
      </w:pPr>
      <w:r w:rsidRPr="00362EB4">
        <w:rPr>
          <w:sz w:val="28"/>
          <w:szCs w:val="28"/>
        </w:rPr>
        <w:t>Rozdělení čtyřúhelníků podle tvaru:</w:t>
      </w:r>
    </w:p>
    <w:tbl>
      <w:tblPr>
        <w:tblStyle w:val="Mkatabulky"/>
        <w:tblW w:w="9518" w:type="dxa"/>
        <w:tblLook w:val="04A0" w:firstRow="1" w:lastRow="0" w:firstColumn="1" w:lastColumn="0" w:noHBand="0" w:noVBand="1"/>
      </w:tblPr>
      <w:tblGrid>
        <w:gridCol w:w="1616"/>
        <w:gridCol w:w="2243"/>
        <w:gridCol w:w="2465"/>
        <w:gridCol w:w="1833"/>
        <w:gridCol w:w="1582"/>
      </w:tblGrid>
      <w:tr w:rsidR="00BA5B6E" w:rsidRPr="00362EB4" w:rsidTr="00BA5B6E">
        <w:trPr>
          <w:trHeight w:val="508"/>
        </w:trPr>
        <w:tc>
          <w:tcPr>
            <w:tcW w:w="1721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>
            <w:pPr>
              <w:rPr>
                <w:sz w:val="28"/>
                <w:szCs w:val="28"/>
              </w:rPr>
            </w:pPr>
            <w:r w:rsidRPr="00362EB4">
              <w:rPr>
                <w:sz w:val="28"/>
                <w:szCs w:val="28"/>
              </w:rPr>
              <w:t>čtyřúhelníky</w:t>
            </w:r>
          </w:p>
        </w:tc>
        <w:tc>
          <w:tcPr>
            <w:tcW w:w="206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 w:rsidP="00D95B68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62EB4">
              <w:rPr>
                <w:sz w:val="28"/>
                <w:szCs w:val="28"/>
              </w:rPr>
              <w:t>nekonvexní</w:t>
            </w:r>
          </w:p>
        </w:tc>
        <w:tc>
          <w:tcPr>
            <w:tcW w:w="5735" w:type="dxa"/>
            <w:gridSpan w:val="3"/>
            <w:tcBorders>
              <w:left w:val="single" w:sz="12" w:space="0" w:color="5B9BD5" w:themeColor="accent1"/>
            </w:tcBorders>
          </w:tcPr>
          <w:p w:rsidR="00BA5B6E" w:rsidRPr="00362EB4" w:rsidRDefault="00BA5B6E">
            <w:pPr>
              <w:rPr>
                <w:sz w:val="28"/>
                <w:szCs w:val="28"/>
              </w:rPr>
            </w:pPr>
          </w:p>
        </w:tc>
      </w:tr>
      <w:tr w:rsidR="00BA5B6E" w:rsidRPr="00362EB4" w:rsidTr="00BA5B6E">
        <w:trPr>
          <w:trHeight w:val="537"/>
        </w:trPr>
        <w:tc>
          <w:tcPr>
            <w:tcW w:w="1721" w:type="dxa"/>
            <w:vMerge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 w:rsidP="00D95B68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62EB4">
              <w:rPr>
                <w:sz w:val="28"/>
                <w:szCs w:val="28"/>
              </w:rPr>
              <w:t xml:space="preserve">konvexní </w:t>
            </w:r>
          </w:p>
        </w:tc>
        <w:tc>
          <w:tcPr>
            <w:tcW w:w="224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 w:rsidP="00D95B68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62EB4">
              <w:rPr>
                <w:sz w:val="28"/>
                <w:szCs w:val="28"/>
              </w:rPr>
              <w:t>obecné</w:t>
            </w:r>
          </w:p>
        </w:tc>
        <w:tc>
          <w:tcPr>
            <w:tcW w:w="3489" w:type="dxa"/>
            <w:gridSpan w:val="2"/>
            <w:tcBorders>
              <w:left w:val="single" w:sz="12" w:space="0" w:color="5B9BD5" w:themeColor="accent1"/>
              <w:bottom w:val="single" w:sz="12" w:space="0" w:color="5B9BD5" w:themeColor="accent1"/>
            </w:tcBorders>
          </w:tcPr>
          <w:p w:rsidR="00BA5B6E" w:rsidRPr="00362EB4" w:rsidRDefault="00BA5B6E">
            <w:pPr>
              <w:rPr>
                <w:sz w:val="28"/>
                <w:szCs w:val="28"/>
              </w:rPr>
            </w:pPr>
          </w:p>
        </w:tc>
      </w:tr>
      <w:tr w:rsidR="00BA5B6E" w:rsidRPr="00362EB4" w:rsidTr="00BA5B6E">
        <w:trPr>
          <w:trHeight w:val="480"/>
        </w:trPr>
        <w:tc>
          <w:tcPr>
            <w:tcW w:w="3783" w:type="dxa"/>
            <w:gridSpan w:val="2"/>
            <w:vMerge w:val="restart"/>
            <w:tcBorders>
              <w:top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 w:rsidP="00D95B68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62EB4">
              <w:rPr>
                <w:sz w:val="28"/>
                <w:szCs w:val="28"/>
              </w:rPr>
              <w:t>rovnoběžníky</w:t>
            </w:r>
          </w:p>
        </w:tc>
        <w:tc>
          <w:tcPr>
            <w:tcW w:w="1783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>
            <w:pPr>
              <w:rPr>
                <w:sz w:val="28"/>
                <w:szCs w:val="28"/>
              </w:rPr>
            </w:pPr>
            <w:r w:rsidRPr="00362EB4">
              <w:rPr>
                <w:sz w:val="28"/>
                <w:szCs w:val="28"/>
              </w:rPr>
              <w:t>pravoúhelníky</w:t>
            </w:r>
          </w:p>
        </w:tc>
        <w:tc>
          <w:tcPr>
            <w:tcW w:w="170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>
            <w:pPr>
              <w:rPr>
                <w:sz w:val="28"/>
                <w:szCs w:val="28"/>
              </w:rPr>
            </w:pPr>
            <w:r w:rsidRPr="00362EB4">
              <w:rPr>
                <w:sz w:val="28"/>
                <w:szCs w:val="28"/>
              </w:rPr>
              <w:t>obdélníky</w:t>
            </w:r>
          </w:p>
        </w:tc>
      </w:tr>
      <w:tr w:rsidR="00BA5B6E" w:rsidRPr="00362EB4" w:rsidTr="00BA5B6E">
        <w:trPr>
          <w:trHeight w:val="508"/>
        </w:trPr>
        <w:tc>
          <w:tcPr>
            <w:tcW w:w="3783" w:type="dxa"/>
            <w:gridSpan w:val="2"/>
            <w:vMerge/>
            <w:tcBorders>
              <w:right w:val="single" w:sz="12" w:space="0" w:color="5B9BD5" w:themeColor="accent1"/>
            </w:tcBorders>
          </w:tcPr>
          <w:p w:rsidR="00BA5B6E" w:rsidRPr="00362EB4" w:rsidRDefault="00BA5B6E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>
            <w:pPr>
              <w:rPr>
                <w:sz w:val="28"/>
                <w:szCs w:val="28"/>
              </w:rPr>
            </w:pPr>
            <w:r w:rsidRPr="00362EB4">
              <w:rPr>
                <w:sz w:val="28"/>
                <w:szCs w:val="28"/>
              </w:rPr>
              <w:t>čtverce</w:t>
            </w:r>
          </w:p>
        </w:tc>
      </w:tr>
      <w:tr w:rsidR="00BA5B6E" w:rsidRPr="00362EB4" w:rsidTr="00BA5B6E">
        <w:trPr>
          <w:trHeight w:val="480"/>
        </w:trPr>
        <w:tc>
          <w:tcPr>
            <w:tcW w:w="3783" w:type="dxa"/>
            <w:gridSpan w:val="2"/>
            <w:vMerge/>
            <w:tcBorders>
              <w:right w:val="single" w:sz="12" w:space="0" w:color="5B9BD5" w:themeColor="accent1"/>
            </w:tcBorders>
          </w:tcPr>
          <w:p w:rsidR="00BA5B6E" w:rsidRPr="00362EB4" w:rsidRDefault="00BA5B6E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>
            <w:pPr>
              <w:rPr>
                <w:sz w:val="28"/>
                <w:szCs w:val="28"/>
              </w:rPr>
            </w:pPr>
            <w:r w:rsidRPr="00362EB4">
              <w:rPr>
                <w:sz w:val="28"/>
                <w:szCs w:val="28"/>
              </w:rPr>
              <w:t>kosodélníky</w:t>
            </w:r>
          </w:p>
        </w:tc>
        <w:tc>
          <w:tcPr>
            <w:tcW w:w="170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>
            <w:pPr>
              <w:rPr>
                <w:sz w:val="28"/>
                <w:szCs w:val="28"/>
              </w:rPr>
            </w:pPr>
            <w:r w:rsidRPr="00362EB4">
              <w:rPr>
                <w:sz w:val="28"/>
                <w:szCs w:val="28"/>
              </w:rPr>
              <w:t>kosodélníky</w:t>
            </w:r>
          </w:p>
        </w:tc>
      </w:tr>
      <w:tr w:rsidR="00BA5B6E" w:rsidRPr="00362EB4" w:rsidTr="00BA5B6E">
        <w:trPr>
          <w:trHeight w:val="508"/>
        </w:trPr>
        <w:tc>
          <w:tcPr>
            <w:tcW w:w="3783" w:type="dxa"/>
            <w:gridSpan w:val="2"/>
            <w:vMerge/>
            <w:tcBorders>
              <w:right w:val="single" w:sz="12" w:space="0" w:color="5B9BD5" w:themeColor="accent1"/>
            </w:tcBorders>
          </w:tcPr>
          <w:p w:rsidR="00BA5B6E" w:rsidRPr="00362EB4" w:rsidRDefault="00BA5B6E" w:rsidP="00D95B68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 w:rsidP="00D95B68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 w:rsidP="00D95B68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 w:rsidP="00D95B68">
            <w:pPr>
              <w:rPr>
                <w:sz w:val="28"/>
                <w:szCs w:val="28"/>
              </w:rPr>
            </w:pPr>
            <w:r w:rsidRPr="00362EB4">
              <w:rPr>
                <w:sz w:val="28"/>
                <w:szCs w:val="28"/>
              </w:rPr>
              <w:t>kosočtverce</w:t>
            </w:r>
          </w:p>
        </w:tc>
      </w:tr>
      <w:tr w:rsidR="00BA5B6E" w:rsidRPr="00362EB4" w:rsidTr="00BA5B6E">
        <w:trPr>
          <w:trHeight w:val="508"/>
        </w:trPr>
        <w:tc>
          <w:tcPr>
            <w:tcW w:w="3783" w:type="dxa"/>
            <w:gridSpan w:val="2"/>
            <w:vMerge/>
            <w:tcBorders>
              <w:right w:val="single" w:sz="12" w:space="0" w:color="5B9BD5" w:themeColor="accent1"/>
            </w:tcBorders>
          </w:tcPr>
          <w:p w:rsidR="00BA5B6E" w:rsidRPr="00362EB4" w:rsidRDefault="00BA5B6E" w:rsidP="00D95B68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 w:val="restart"/>
            <w:tcBorders>
              <w:left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 w:rsidP="00D95B68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62EB4">
              <w:rPr>
                <w:sz w:val="28"/>
                <w:szCs w:val="28"/>
              </w:rPr>
              <w:t>lichoběžníky</w:t>
            </w:r>
          </w:p>
        </w:tc>
        <w:tc>
          <w:tcPr>
            <w:tcW w:w="3489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 w:rsidP="00D95B68">
            <w:pPr>
              <w:rPr>
                <w:sz w:val="28"/>
                <w:szCs w:val="28"/>
              </w:rPr>
            </w:pPr>
            <w:r w:rsidRPr="00362EB4">
              <w:rPr>
                <w:sz w:val="28"/>
                <w:szCs w:val="28"/>
              </w:rPr>
              <w:t>obecné</w:t>
            </w:r>
          </w:p>
        </w:tc>
      </w:tr>
      <w:tr w:rsidR="00BA5B6E" w:rsidRPr="00362EB4" w:rsidTr="00BA5B6E">
        <w:trPr>
          <w:trHeight w:val="486"/>
        </w:trPr>
        <w:tc>
          <w:tcPr>
            <w:tcW w:w="3783" w:type="dxa"/>
            <w:gridSpan w:val="2"/>
            <w:vMerge/>
            <w:tcBorders>
              <w:right w:val="single" w:sz="12" w:space="0" w:color="5B9BD5" w:themeColor="accent1"/>
            </w:tcBorders>
          </w:tcPr>
          <w:p w:rsidR="00BA5B6E" w:rsidRPr="00362EB4" w:rsidRDefault="00BA5B6E" w:rsidP="00D95B68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 w:rsidP="00D95B6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 w:rsidP="00D95B68">
            <w:pPr>
              <w:rPr>
                <w:sz w:val="28"/>
                <w:szCs w:val="28"/>
              </w:rPr>
            </w:pPr>
            <w:r w:rsidRPr="00362EB4">
              <w:rPr>
                <w:sz w:val="28"/>
                <w:szCs w:val="28"/>
              </w:rPr>
              <w:t>rovnoramenné</w:t>
            </w:r>
          </w:p>
        </w:tc>
      </w:tr>
      <w:tr w:rsidR="00BA5B6E" w:rsidRPr="00362EB4" w:rsidTr="00BA5B6E">
        <w:trPr>
          <w:trHeight w:val="579"/>
        </w:trPr>
        <w:tc>
          <w:tcPr>
            <w:tcW w:w="3783" w:type="dxa"/>
            <w:gridSpan w:val="2"/>
            <w:vMerge/>
            <w:tcBorders>
              <w:right w:val="single" w:sz="12" w:space="0" w:color="5B9BD5" w:themeColor="accent1"/>
            </w:tcBorders>
          </w:tcPr>
          <w:p w:rsidR="00BA5B6E" w:rsidRPr="00362EB4" w:rsidRDefault="00BA5B6E" w:rsidP="00D95B68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 w:rsidP="00D95B68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 w:rsidP="00D95B68">
            <w:pPr>
              <w:rPr>
                <w:sz w:val="28"/>
                <w:szCs w:val="28"/>
              </w:rPr>
            </w:pPr>
            <w:r w:rsidRPr="00362EB4">
              <w:rPr>
                <w:sz w:val="28"/>
                <w:szCs w:val="28"/>
              </w:rPr>
              <w:t>pravoúhlé</w:t>
            </w:r>
          </w:p>
        </w:tc>
      </w:tr>
      <w:tr w:rsidR="00BA5B6E" w:rsidRPr="00362EB4" w:rsidTr="00BA5B6E">
        <w:trPr>
          <w:trHeight w:val="579"/>
        </w:trPr>
        <w:tc>
          <w:tcPr>
            <w:tcW w:w="3783" w:type="dxa"/>
            <w:gridSpan w:val="2"/>
            <w:vMerge/>
            <w:tcBorders>
              <w:right w:val="single" w:sz="12" w:space="0" w:color="5B9BD5" w:themeColor="accent1"/>
            </w:tcBorders>
          </w:tcPr>
          <w:p w:rsidR="00BA5B6E" w:rsidRPr="00362EB4" w:rsidRDefault="00BA5B6E" w:rsidP="00D95B68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 w:rsidP="00BA5B6E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62EB4">
              <w:rPr>
                <w:sz w:val="28"/>
                <w:szCs w:val="28"/>
              </w:rPr>
              <w:t>deltoidy</w:t>
            </w:r>
          </w:p>
        </w:tc>
        <w:tc>
          <w:tcPr>
            <w:tcW w:w="3489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BA5B6E" w:rsidRPr="00362EB4" w:rsidRDefault="00BA5B6E" w:rsidP="00BA5B6E">
            <w:pPr>
              <w:pStyle w:val="Odstavecseseznamem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62EB4">
              <w:rPr>
                <w:sz w:val="28"/>
                <w:szCs w:val="28"/>
              </w:rPr>
              <w:t>jejich úhlopříčky jsou navzájem kolmé a právě jedna z nich půlí druhou</w:t>
            </w:r>
          </w:p>
        </w:tc>
      </w:tr>
    </w:tbl>
    <w:p w:rsidR="00D95B68" w:rsidRPr="00362EB4" w:rsidRDefault="00D95B68">
      <w:pPr>
        <w:rPr>
          <w:sz w:val="28"/>
          <w:szCs w:val="28"/>
        </w:rPr>
      </w:pPr>
    </w:p>
    <w:p w:rsidR="00394C50" w:rsidRDefault="00DC185C">
      <w:pPr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Konvexní</w:t>
      </w:r>
      <w:r w:rsidR="00D54802" w:rsidRPr="00362EB4">
        <w:rPr>
          <w:sz w:val="28"/>
          <w:szCs w:val="28"/>
        </w:rPr>
        <w:t xml:space="preserve"> </w:t>
      </w:r>
      <w:r w:rsidR="00394C50" w:rsidRPr="00D54802">
        <w:rPr>
          <w:b/>
          <w:color w:val="2F5496" w:themeColor="accent5" w:themeShade="BF"/>
          <w:sz w:val="28"/>
          <w:szCs w:val="28"/>
        </w:rPr>
        <w:t>čtyřúhelníky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185C" w:rsidTr="00DC185C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</w:tcBorders>
          </w:tcPr>
          <w:p w:rsidR="00DC185C" w:rsidRDefault="00DC185C" w:rsidP="00DC185C">
            <w:pPr>
              <w:rPr>
                <w:b/>
                <w:color w:val="2F5496" w:themeColor="accent5" w:themeShade="BF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2F5496" w:themeColor="accent5" w:themeShade="BF"/>
                    <w:sz w:val="28"/>
                    <w:szCs w:val="28"/>
                  </w:rPr>
                  <m:t xml:space="preserve">a, b, c, d </m:t>
                </m:r>
              </m:oMath>
            </m:oMathPara>
          </w:p>
        </w:tc>
        <w:tc>
          <w:tcPr>
            <w:tcW w:w="4531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DC185C" w:rsidRPr="00DC185C" w:rsidRDefault="00DC1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strany </w:t>
            </w:r>
            <w:r w:rsidRPr="00362EB4">
              <w:rPr>
                <w:sz w:val="28"/>
                <w:szCs w:val="28"/>
              </w:rPr>
              <w:t>čtyřúhelník</w:t>
            </w:r>
            <w:r>
              <w:rPr>
                <w:sz w:val="28"/>
                <w:szCs w:val="28"/>
              </w:rPr>
              <w:t>u</w:t>
            </w:r>
          </w:p>
        </w:tc>
      </w:tr>
      <w:tr w:rsidR="00DC185C" w:rsidTr="00DC185C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</w:tcBorders>
          </w:tcPr>
          <w:p w:rsidR="00DC185C" w:rsidRDefault="00DC185C" w:rsidP="00DC185C">
            <w:pPr>
              <w:rPr>
                <w:b/>
                <w:color w:val="2F5496" w:themeColor="accent5" w:themeShade="BF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2F5496" w:themeColor="accent5" w:themeShade="BF"/>
                    <w:sz w:val="28"/>
                    <w:szCs w:val="28"/>
                  </w:rPr>
                  <m:t>e, f</m:t>
                </m:r>
              </m:oMath>
            </m:oMathPara>
          </w:p>
        </w:tc>
        <w:tc>
          <w:tcPr>
            <w:tcW w:w="4531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DC185C" w:rsidRDefault="00DC185C">
            <w:pPr>
              <w:rPr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úhlopříčky </w:t>
            </w:r>
            <w:r w:rsidRPr="00362EB4">
              <w:rPr>
                <w:sz w:val="28"/>
                <w:szCs w:val="28"/>
              </w:rPr>
              <w:t>čtyřúhelník</w:t>
            </w:r>
            <w:r>
              <w:rPr>
                <w:sz w:val="28"/>
                <w:szCs w:val="28"/>
              </w:rPr>
              <w:t>u</w:t>
            </w:r>
          </w:p>
        </w:tc>
      </w:tr>
      <w:tr w:rsidR="00DC185C" w:rsidTr="00DC185C">
        <w:tc>
          <w:tcPr>
            <w:tcW w:w="4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</w:tcBorders>
          </w:tcPr>
          <w:p w:rsidR="00DC185C" w:rsidRDefault="00DC185C" w:rsidP="00DC185C">
            <w:pPr>
              <w:rPr>
                <w:b/>
                <w:color w:val="2F5496" w:themeColor="accent5" w:themeShade="BF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2F5496" w:themeColor="accent5" w:themeShade="BF"/>
                    <w:sz w:val="28"/>
                    <w:szCs w:val="28"/>
                  </w:rPr>
                  <m:t xml:space="preserve">α, β, γ, δ </m:t>
                </m:r>
              </m:oMath>
            </m:oMathPara>
          </w:p>
        </w:tc>
        <w:tc>
          <w:tcPr>
            <w:tcW w:w="4531" w:type="dxa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DC185C" w:rsidRDefault="00DC185C" w:rsidP="00DC185C">
            <w:pPr>
              <w:rPr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sz w:val="28"/>
                <w:szCs w:val="28"/>
              </w:rPr>
              <w:t>vnitřní úhly č</w:t>
            </w:r>
            <w:r w:rsidRPr="00362EB4">
              <w:rPr>
                <w:sz w:val="28"/>
                <w:szCs w:val="28"/>
              </w:rPr>
              <w:t>tyřúhelník</w:t>
            </w:r>
            <w:r>
              <w:rPr>
                <w:sz w:val="28"/>
                <w:szCs w:val="28"/>
              </w:rPr>
              <w:t>u</w:t>
            </w:r>
          </w:p>
        </w:tc>
      </w:tr>
    </w:tbl>
    <w:p w:rsidR="00DC185C" w:rsidRDefault="00DC185C">
      <w:pPr>
        <w:rPr>
          <w:b/>
          <w:color w:val="2F5496" w:themeColor="accent5" w:themeShade="BF"/>
          <w:sz w:val="28"/>
          <w:szCs w:val="28"/>
        </w:rPr>
      </w:pPr>
    </w:p>
    <w:p w:rsidR="00DC185C" w:rsidRPr="00DC185C" w:rsidRDefault="00DC185C" w:rsidP="00DC185C">
      <w:pPr>
        <w:pStyle w:val="Odstavecseseznamem"/>
        <w:numPr>
          <w:ilvl w:val="0"/>
          <w:numId w:val="8"/>
        </w:numPr>
        <w:rPr>
          <w:b/>
          <w:color w:val="2F5496" w:themeColor="accent5" w:themeShade="BF"/>
          <w:sz w:val="28"/>
          <w:szCs w:val="28"/>
        </w:rPr>
      </w:pPr>
      <w:r>
        <w:rPr>
          <w:sz w:val="28"/>
          <w:szCs w:val="28"/>
        </w:rPr>
        <w:t>Nutná a postačující podmínka k existenci konvexního čtyřúhelníku:</w:t>
      </w:r>
    </w:p>
    <w:p w:rsidR="00DC185C" w:rsidRPr="00DC185C" w:rsidRDefault="00DC185C" w:rsidP="00DC185C">
      <w:pPr>
        <w:pStyle w:val="Odstavecseseznamem"/>
        <w:rPr>
          <w:b/>
          <w:color w:val="2F5496" w:themeColor="accent5" w:themeShade="BF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(a+b+c&gt;d</m:t>
        </m:r>
      </m:oMath>
      <w:r>
        <w:rPr>
          <w:rFonts w:eastAsiaTheme="minorEastAsia"/>
          <w:sz w:val="28"/>
          <w:szCs w:val="28"/>
        </w:rPr>
        <w:t>)</w:t>
      </w:r>
      <m:oMath>
        <m:r>
          <w:rPr>
            <w:rFonts w:ascii="Cambria Math" w:eastAsiaTheme="minorEastAsia" w:hAnsi="Cambria Math"/>
            <w:sz w:val="28"/>
            <w:szCs w:val="28"/>
          </w:rPr>
          <m:t>˄(b+c+d&gt;a)˄(c+d+a&gt;b)˄(a+b+d&gt;c)</m:t>
        </m:r>
      </m:oMath>
    </w:p>
    <w:p w:rsidR="00DC185C" w:rsidRPr="00D54802" w:rsidRDefault="00DC185C">
      <w:pPr>
        <w:rPr>
          <w:b/>
          <w:color w:val="2F5496" w:themeColor="accent5" w:themeShade="BF"/>
          <w:sz w:val="28"/>
          <w:szCs w:val="28"/>
        </w:rPr>
      </w:pPr>
    </w:p>
    <w:p w:rsidR="00394C50" w:rsidRPr="00362EB4" w:rsidRDefault="00394C50">
      <w:pPr>
        <w:rPr>
          <w:sz w:val="28"/>
          <w:szCs w:val="28"/>
        </w:rPr>
      </w:pPr>
      <w:r w:rsidRPr="00362EB4">
        <w:rPr>
          <w:sz w:val="28"/>
          <w:szCs w:val="28"/>
        </w:rPr>
        <w:t>Mezi nejdůležitější konvexní čtyřúhelníky patří:</w:t>
      </w:r>
    </w:p>
    <w:p w:rsidR="00394C50" w:rsidRPr="00362EB4" w:rsidRDefault="00394C50" w:rsidP="00394C50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362EB4">
        <w:rPr>
          <w:b/>
          <w:color w:val="2F5496" w:themeColor="accent5" w:themeShade="BF"/>
          <w:sz w:val="28"/>
          <w:szCs w:val="28"/>
        </w:rPr>
        <w:t>tětivové</w:t>
      </w:r>
      <w:r w:rsidRPr="00362EB4">
        <w:rPr>
          <w:sz w:val="28"/>
          <w:szCs w:val="28"/>
        </w:rPr>
        <w:t xml:space="preserve"> – lze jim opsat kružnici, </w:t>
      </w:r>
    </w:p>
    <w:p w:rsidR="00394C50" w:rsidRPr="00362EB4" w:rsidRDefault="00394C50" w:rsidP="00394C50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362EB4">
        <w:rPr>
          <w:b/>
          <w:color w:val="2F5496" w:themeColor="accent5" w:themeShade="BF"/>
          <w:sz w:val="28"/>
          <w:szCs w:val="28"/>
        </w:rPr>
        <w:lastRenderedPageBreak/>
        <w:t>tečnové</w:t>
      </w:r>
      <w:r w:rsidRPr="00362EB4">
        <w:rPr>
          <w:sz w:val="28"/>
          <w:szCs w:val="28"/>
        </w:rPr>
        <w:t xml:space="preserve"> – lze jim vepsat kružnici, která se zvnitřku dotýká všech jeho stran ve vnitřních bodech,</w:t>
      </w:r>
    </w:p>
    <w:p w:rsidR="00394C50" w:rsidRPr="00362EB4" w:rsidRDefault="00394C50" w:rsidP="00394C50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362EB4">
        <w:rPr>
          <w:b/>
          <w:color w:val="2F5496" w:themeColor="accent5" w:themeShade="BF"/>
          <w:sz w:val="28"/>
          <w:szCs w:val="28"/>
        </w:rPr>
        <w:t xml:space="preserve">dvojstředové </w:t>
      </w:r>
      <w:r w:rsidRPr="00362EB4">
        <w:rPr>
          <w:sz w:val="28"/>
          <w:szCs w:val="28"/>
        </w:rPr>
        <w:t>– tětivové a tečnové současně; netýká se jen čtverců!</w:t>
      </w:r>
    </w:p>
    <w:p w:rsidR="00394C50" w:rsidRDefault="00394C50" w:rsidP="00394C50">
      <w:pPr>
        <w:rPr>
          <w:rFonts w:eastAsiaTheme="minorEastAsia"/>
          <w:sz w:val="28"/>
          <w:szCs w:val="28"/>
        </w:rPr>
      </w:pPr>
      <w:r w:rsidRPr="00362EB4">
        <w:rPr>
          <w:b/>
          <w:color w:val="2F5496" w:themeColor="accent5" w:themeShade="BF"/>
          <w:sz w:val="28"/>
          <w:szCs w:val="28"/>
        </w:rPr>
        <w:t>Věta 1</w:t>
      </w:r>
      <w:r w:rsidRPr="00362EB4">
        <w:rPr>
          <w:sz w:val="28"/>
          <w:szCs w:val="28"/>
        </w:rPr>
        <w:t xml:space="preserve"> (kritérium = nutná a postačující podmínka pro tětivový </w:t>
      </w:r>
      <w:r w:rsidR="007C6D31" w:rsidRPr="00362EB4">
        <w:rPr>
          <w:sz w:val="28"/>
          <w:szCs w:val="28"/>
        </w:rPr>
        <w:t>čtyřúhelník</w:t>
      </w:r>
      <w:r w:rsidRPr="00362EB4">
        <w:rPr>
          <w:sz w:val="28"/>
          <w:szCs w:val="28"/>
        </w:rPr>
        <w:t>)</w:t>
      </w:r>
      <w:r w:rsidRPr="00362EB4">
        <w:rPr>
          <w:sz w:val="28"/>
          <w:szCs w:val="28"/>
        </w:rPr>
        <w:br/>
        <w:t xml:space="preserve">Konvexní </w:t>
      </w:r>
      <w:r w:rsidR="007C6D31" w:rsidRPr="00362EB4">
        <w:rPr>
          <w:sz w:val="28"/>
          <w:szCs w:val="28"/>
        </w:rPr>
        <w:t xml:space="preserve">čtyřúhelník ABCD je </w:t>
      </w:r>
      <w:r w:rsidR="007C6D31" w:rsidRPr="00362EB4">
        <w:rPr>
          <w:b/>
          <w:color w:val="2F5496" w:themeColor="accent5" w:themeShade="BF"/>
          <w:sz w:val="28"/>
          <w:szCs w:val="28"/>
        </w:rPr>
        <w:t>tětivový</w:t>
      </w:r>
      <w:r w:rsidR="007C6D31" w:rsidRPr="00362EB4">
        <w:rPr>
          <w:sz w:val="28"/>
          <w:szCs w:val="28"/>
        </w:rPr>
        <w:t xml:space="preserve">, právě když platí: </w:t>
      </w:r>
      <m:oMath>
        <m:r>
          <w:rPr>
            <w:rFonts w:ascii="Cambria Math" w:hAnsi="Cambria Math"/>
            <w:sz w:val="28"/>
            <w:szCs w:val="28"/>
          </w:rPr>
          <m:t>α+γ=β+δ=180°.</m:t>
        </m:r>
      </m:oMath>
    </w:p>
    <w:p w:rsidR="00815CE1" w:rsidRPr="00815CE1" w:rsidRDefault="00815CE1" w:rsidP="00394C50">
      <w:pPr>
        <w:rPr>
          <w:rFonts w:eastAsiaTheme="minorEastAsia"/>
          <w:i/>
          <w:sz w:val="28"/>
          <w:szCs w:val="28"/>
        </w:rPr>
      </w:pPr>
      <w:r w:rsidRPr="00815CE1">
        <w:rPr>
          <w:rFonts w:eastAsiaTheme="minorEastAsia"/>
          <w:i/>
          <w:sz w:val="28"/>
          <w:szCs w:val="28"/>
        </w:rPr>
        <w:t>Důkaz:</w:t>
      </w:r>
    </w:p>
    <w:p w:rsidR="007C6D31" w:rsidRPr="00362EB4" w:rsidRDefault="007C6D31" w:rsidP="00394C50">
      <w:pPr>
        <w:rPr>
          <w:rFonts w:eastAsiaTheme="minorEastAsia"/>
          <w:sz w:val="28"/>
          <w:szCs w:val="28"/>
        </w:rPr>
      </w:pPr>
      <w:r w:rsidRPr="00362EB4">
        <w:rPr>
          <w:rFonts w:eastAsiaTheme="minorEastAsia"/>
          <w:sz w:val="28"/>
          <w:szCs w:val="28"/>
        </w:rPr>
        <w:t>Pozn: Rozumí se při obvyklém označení velikostí jeho vnitřních úhlů.</w:t>
      </w:r>
    </w:p>
    <w:p w:rsidR="007C6D31" w:rsidRDefault="007C6D31" w:rsidP="007C6D31">
      <w:pPr>
        <w:rPr>
          <w:rFonts w:eastAsiaTheme="minorEastAsia"/>
          <w:sz w:val="28"/>
          <w:szCs w:val="28"/>
        </w:rPr>
      </w:pPr>
      <w:r w:rsidRPr="00362EB4">
        <w:rPr>
          <w:b/>
          <w:color w:val="2F5496" w:themeColor="accent5" w:themeShade="BF"/>
          <w:sz w:val="28"/>
          <w:szCs w:val="28"/>
        </w:rPr>
        <w:t>Věta 2</w:t>
      </w:r>
      <w:r w:rsidRPr="00362EB4">
        <w:rPr>
          <w:color w:val="2F5496" w:themeColor="accent5" w:themeShade="BF"/>
          <w:sz w:val="28"/>
          <w:szCs w:val="28"/>
        </w:rPr>
        <w:t xml:space="preserve"> </w:t>
      </w:r>
      <w:r w:rsidRPr="00362EB4">
        <w:rPr>
          <w:sz w:val="28"/>
          <w:szCs w:val="28"/>
        </w:rPr>
        <w:t>(kritérium = nutná a postačující podmínka pro tečnový čtyřúhelník)</w:t>
      </w:r>
      <w:r w:rsidRPr="00362EB4">
        <w:rPr>
          <w:sz w:val="28"/>
          <w:szCs w:val="28"/>
        </w:rPr>
        <w:br/>
        <w:t xml:space="preserve">Konvexní čtyřúhelník ABCD je </w:t>
      </w:r>
      <w:r w:rsidRPr="00362EB4">
        <w:rPr>
          <w:b/>
          <w:color w:val="2F5496" w:themeColor="accent5" w:themeShade="BF"/>
          <w:sz w:val="28"/>
          <w:szCs w:val="28"/>
        </w:rPr>
        <w:t>tečnový</w:t>
      </w:r>
      <w:r w:rsidRPr="00362EB4">
        <w:rPr>
          <w:sz w:val="28"/>
          <w:szCs w:val="28"/>
        </w:rPr>
        <w:t xml:space="preserve">, právě když platí: </w:t>
      </w:r>
      <m:oMath>
        <m:r>
          <w:rPr>
            <w:rFonts w:ascii="Cambria Math" w:hAnsi="Cambria Math"/>
            <w:sz w:val="28"/>
            <w:szCs w:val="28"/>
          </w:rPr>
          <m:t>a+c=b+d.</m:t>
        </m:r>
      </m:oMath>
    </w:p>
    <w:p w:rsidR="00815CE1" w:rsidRPr="00815CE1" w:rsidRDefault="00815CE1" w:rsidP="00815CE1">
      <w:pPr>
        <w:rPr>
          <w:rFonts w:eastAsiaTheme="minorEastAsia"/>
          <w:i/>
          <w:sz w:val="28"/>
          <w:szCs w:val="28"/>
        </w:rPr>
      </w:pPr>
      <w:r w:rsidRPr="00815CE1">
        <w:rPr>
          <w:rFonts w:eastAsiaTheme="minorEastAsia"/>
          <w:i/>
          <w:sz w:val="28"/>
          <w:szCs w:val="28"/>
        </w:rPr>
        <w:t>Důkaz:</w:t>
      </w:r>
    </w:p>
    <w:p w:rsidR="007C6D31" w:rsidRPr="00362EB4" w:rsidRDefault="007C6D31" w:rsidP="007C6D31">
      <w:pPr>
        <w:rPr>
          <w:rFonts w:eastAsiaTheme="minorEastAsia"/>
          <w:sz w:val="28"/>
          <w:szCs w:val="28"/>
        </w:rPr>
      </w:pPr>
      <w:proofErr w:type="spellStart"/>
      <w:r w:rsidRPr="00362EB4">
        <w:rPr>
          <w:rFonts w:eastAsiaTheme="minorEastAsia"/>
          <w:sz w:val="28"/>
          <w:szCs w:val="28"/>
        </w:rPr>
        <w:t>Pozn</w:t>
      </w:r>
      <w:proofErr w:type="spellEnd"/>
      <w:r w:rsidRPr="00362EB4">
        <w:rPr>
          <w:rFonts w:eastAsiaTheme="minorEastAsia"/>
          <w:sz w:val="28"/>
          <w:szCs w:val="28"/>
        </w:rPr>
        <w:t>: Rozumí se při obvyklém označení velikostí (délek) jeho stran.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03C3" w:rsidRPr="00362EB4" w:rsidTr="00362EB4">
        <w:tc>
          <w:tcPr>
            <w:tcW w:w="906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3C3" w:rsidRPr="00362EB4" w:rsidRDefault="004A03C3" w:rsidP="007C6D31">
            <w:pPr>
              <w:rPr>
                <w:rFonts w:eastAsiaTheme="minorEastAsia"/>
                <w:sz w:val="28"/>
                <w:szCs w:val="28"/>
              </w:rPr>
            </w:pPr>
            <w:r w:rsidRPr="00362EB4">
              <w:rPr>
                <w:rFonts w:eastAsiaTheme="minorEastAsia"/>
                <w:sz w:val="28"/>
                <w:szCs w:val="28"/>
              </w:rPr>
              <w:t>Vzorce pro obsah</w:t>
            </w:r>
          </w:p>
        </w:tc>
      </w:tr>
      <w:tr w:rsidR="004A03C3" w:rsidRPr="00362EB4" w:rsidTr="00362EB4">
        <w:tc>
          <w:tcPr>
            <w:tcW w:w="906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3C3" w:rsidRPr="00362EB4" w:rsidRDefault="004A03C3" w:rsidP="004A03C3">
            <w:pPr>
              <w:pStyle w:val="Odstavecseseznamem"/>
              <w:numPr>
                <w:ilvl w:val="0"/>
                <w:numId w:val="7"/>
              </w:numPr>
              <w:rPr>
                <w:rFonts w:eastAsiaTheme="minorEastAsia"/>
                <w:sz w:val="28"/>
                <w:szCs w:val="28"/>
              </w:rPr>
            </w:pPr>
            <w:r w:rsidRPr="00362EB4">
              <w:rPr>
                <w:rFonts w:eastAsiaTheme="minorEastAsia"/>
                <w:sz w:val="28"/>
                <w:szCs w:val="28"/>
              </w:rPr>
              <w:t xml:space="preserve">Pro obsah </w:t>
            </w:r>
            <w:r w:rsidRPr="00D54802">
              <w:rPr>
                <w:color w:val="2F5496" w:themeColor="accent5" w:themeShade="BF"/>
                <w:sz w:val="28"/>
                <w:szCs w:val="28"/>
              </w:rPr>
              <w:t>tětivového</w:t>
            </w:r>
            <w:r w:rsidRPr="00362EB4">
              <w:rPr>
                <w:sz w:val="28"/>
                <w:szCs w:val="28"/>
              </w:rPr>
              <w:t xml:space="preserve"> čtyřúhelníku ABCD platí tzv. </w:t>
            </w:r>
            <w:proofErr w:type="spellStart"/>
            <w:r w:rsidRPr="00362EB4">
              <w:rPr>
                <w:sz w:val="28"/>
                <w:szCs w:val="28"/>
              </w:rPr>
              <w:t>Brahmaguptův</w:t>
            </w:r>
            <w:proofErr w:type="spellEnd"/>
            <w:r w:rsidRPr="00362EB4">
              <w:rPr>
                <w:sz w:val="28"/>
                <w:szCs w:val="28"/>
              </w:rPr>
              <w:t xml:space="preserve"> vzorec</w:t>
            </w:r>
            <w:r w:rsidR="00831B23" w:rsidRPr="00362EB4">
              <w:rPr>
                <w:sz w:val="28"/>
                <w:szCs w:val="28"/>
              </w:rPr>
              <w:t>:</w:t>
            </w:r>
          </w:p>
          <w:p w:rsidR="004A03C3" w:rsidRPr="00362EB4" w:rsidRDefault="00D54802" w:rsidP="004A03C3">
            <w:pPr>
              <w:pStyle w:val="Odstavecseseznamem"/>
              <w:ind w:left="1440"/>
              <w:jc w:val="center"/>
              <w:rPr>
                <w:rFonts w:eastAsiaTheme="minorEastAsia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2F5496" w:themeColor="accent5" w:themeShade="BF"/>
                  <w:sz w:val="28"/>
                  <w:szCs w:val="28"/>
                </w:rPr>
                <m:t>S=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  <w:color w:val="2F5496" w:themeColor="accent5" w:themeShade="BF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2F5496" w:themeColor="accent5" w:themeShade="BF"/>
                      <w:sz w:val="28"/>
                      <w:szCs w:val="28"/>
                    </w:rPr>
                    <m:t>(s-a)(s-b)(s-c)(s-d)</m:t>
                  </m:r>
                </m:e>
              </m:rad>
            </m:oMath>
            <w:r w:rsidR="004A03C3" w:rsidRPr="00362EB4">
              <w:rPr>
                <w:rFonts w:eastAsiaTheme="minorEastAsia"/>
                <w:sz w:val="28"/>
                <w:szCs w:val="28"/>
              </w:rPr>
              <w:t>,</w:t>
            </w:r>
          </w:p>
          <w:p w:rsidR="004A03C3" w:rsidRDefault="004A03C3" w:rsidP="004A03C3">
            <w:pPr>
              <w:pStyle w:val="Odstavecseseznamem"/>
              <w:ind w:left="1440"/>
              <w:rPr>
                <w:sz w:val="28"/>
                <w:szCs w:val="28"/>
              </w:rPr>
            </w:pPr>
            <w:r w:rsidRPr="00362EB4">
              <w:rPr>
                <w:rFonts w:eastAsiaTheme="minorEastAsia"/>
                <w:sz w:val="28"/>
                <w:szCs w:val="28"/>
              </w:rPr>
              <w:t xml:space="preserve">kde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2s=a+b+c+d</m:t>
              </m:r>
            </m:oMath>
            <w:r w:rsidRPr="00362EB4">
              <w:rPr>
                <w:rFonts w:eastAsiaTheme="minorEastAsia"/>
                <w:sz w:val="28"/>
                <w:szCs w:val="28"/>
              </w:rPr>
              <w:t>, (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(s-a, s-b,s-c,s-d&gt;0</m:t>
              </m:r>
            </m:oMath>
            <w:r w:rsidRPr="00362EB4">
              <w:rPr>
                <w:rFonts w:eastAsiaTheme="minorEastAsia"/>
                <w:sz w:val="28"/>
                <w:szCs w:val="28"/>
              </w:rPr>
              <w:t xml:space="preserve">). </w:t>
            </w:r>
            <w:proofErr w:type="spellStart"/>
            <w:r w:rsidRPr="00362EB4">
              <w:rPr>
                <w:rFonts w:eastAsiaTheme="minorEastAsia"/>
                <w:sz w:val="28"/>
                <w:szCs w:val="28"/>
              </w:rPr>
              <w:t>Pozn</w:t>
            </w:r>
            <w:proofErr w:type="spellEnd"/>
            <w:r w:rsidRPr="00362EB4">
              <w:rPr>
                <w:rFonts w:eastAsiaTheme="minorEastAsia"/>
                <w:sz w:val="28"/>
                <w:szCs w:val="28"/>
              </w:rPr>
              <w:t xml:space="preserve">: Jeho důkaz se vede podobně jako u </w:t>
            </w:r>
            <w:proofErr w:type="spellStart"/>
            <w:r w:rsidRPr="00362EB4">
              <w:rPr>
                <w:rFonts w:eastAsiaTheme="minorEastAsia"/>
                <w:sz w:val="28"/>
                <w:szCs w:val="28"/>
              </w:rPr>
              <w:t>Heronova</w:t>
            </w:r>
            <w:proofErr w:type="spellEnd"/>
            <w:r w:rsidRPr="00362EB4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362EB4">
              <w:rPr>
                <w:rFonts w:eastAsiaTheme="minorEastAsia"/>
                <w:sz w:val="28"/>
                <w:szCs w:val="28"/>
              </w:rPr>
              <w:t>vzo</w:t>
            </w:r>
            <w:r w:rsidR="001B2BF4">
              <w:rPr>
                <w:rFonts w:eastAsiaTheme="minorEastAsia"/>
                <w:sz w:val="28"/>
                <w:szCs w:val="28"/>
              </w:rPr>
              <w:t>c</w:t>
            </w:r>
            <w:r w:rsidRPr="00362EB4">
              <w:rPr>
                <w:rFonts w:eastAsiaTheme="minorEastAsia"/>
                <w:sz w:val="28"/>
                <w:szCs w:val="28"/>
              </w:rPr>
              <w:t>re</w:t>
            </w:r>
            <w:proofErr w:type="spellEnd"/>
            <w:r w:rsidRPr="00362EB4">
              <w:rPr>
                <w:rFonts w:eastAsiaTheme="minorEastAsia"/>
                <w:sz w:val="28"/>
                <w:szCs w:val="28"/>
              </w:rPr>
              <w:t xml:space="preserve">, proto se mu někdy říká </w:t>
            </w:r>
            <w:proofErr w:type="spellStart"/>
            <w:r w:rsidRPr="00362EB4">
              <w:rPr>
                <w:rFonts w:eastAsiaTheme="minorEastAsia"/>
                <w:sz w:val="28"/>
                <w:szCs w:val="28"/>
              </w:rPr>
              <w:t>Heronův</w:t>
            </w:r>
            <w:proofErr w:type="spellEnd"/>
            <w:r w:rsidRPr="00362EB4">
              <w:rPr>
                <w:rFonts w:eastAsiaTheme="minorEastAsia"/>
                <w:sz w:val="28"/>
                <w:szCs w:val="28"/>
              </w:rPr>
              <w:t xml:space="preserve"> vzorec pro </w:t>
            </w:r>
            <w:r w:rsidRPr="00362EB4">
              <w:rPr>
                <w:sz w:val="28"/>
                <w:szCs w:val="28"/>
              </w:rPr>
              <w:t>tětivový čtyřúhelník.</w:t>
            </w:r>
          </w:p>
          <w:p w:rsidR="00362EB4" w:rsidRPr="00362EB4" w:rsidRDefault="00362EB4" w:rsidP="004A03C3">
            <w:pPr>
              <w:pStyle w:val="Odstavecseseznamem"/>
              <w:ind w:left="1440"/>
              <w:rPr>
                <w:rFonts w:eastAsiaTheme="minorEastAsia"/>
                <w:sz w:val="28"/>
                <w:szCs w:val="28"/>
              </w:rPr>
            </w:pPr>
          </w:p>
        </w:tc>
      </w:tr>
      <w:tr w:rsidR="004A03C3" w:rsidRPr="00362EB4" w:rsidTr="00362EB4">
        <w:tc>
          <w:tcPr>
            <w:tcW w:w="906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3C3" w:rsidRPr="00362EB4" w:rsidRDefault="004A03C3" w:rsidP="004A03C3">
            <w:pPr>
              <w:pStyle w:val="Odstavecseseznamem"/>
              <w:numPr>
                <w:ilvl w:val="0"/>
                <w:numId w:val="7"/>
              </w:numPr>
              <w:rPr>
                <w:rFonts w:eastAsiaTheme="minorEastAsia"/>
                <w:sz w:val="28"/>
                <w:szCs w:val="28"/>
              </w:rPr>
            </w:pPr>
            <w:r w:rsidRPr="00362EB4">
              <w:rPr>
                <w:rFonts w:eastAsiaTheme="minorEastAsia"/>
                <w:sz w:val="28"/>
                <w:szCs w:val="28"/>
              </w:rPr>
              <w:t xml:space="preserve">Pro obsah </w:t>
            </w:r>
            <w:r w:rsidRPr="00D54802">
              <w:rPr>
                <w:color w:val="2F5496" w:themeColor="accent5" w:themeShade="BF"/>
                <w:sz w:val="28"/>
                <w:szCs w:val="28"/>
              </w:rPr>
              <w:t>tečnového</w:t>
            </w:r>
            <w:r w:rsidRPr="00362EB4">
              <w:rPr>
                <w:sz w:val="28"/>
                <w:szCs w:val="28"/>
              </w:rPr>
              <w:t xml:space="preserve"> čtyřúhelníku ABCD platí</w:t>
            </w:r>
            <w:r w:rsidR="00831B23" w:rsidRPr="00362EB4">
              <w:rPr>
                <w:sz w:val="28"/>
                <w:szCs w:val="28"/>
              </w:rPr>
              <w:t>:</w:t>
            </w:r>
            <w:r w:rsidRPr="00362EB4">
              <w:rPr>
                <w:sz w:val="28"/>
                <w:szCs w:val="28"/>
              </w:rPr>
              <w:t xml:space="preserve"> </w:t>
            </w:r>
          </w:p>
          <w:p w:rsidR="004A03C3" w:rsidRPr="00D54802" w:rsidRDefault="00D54802" w:rsidP="004A03C3">
            <w:pPr>
              <w:pStyle w:val="Odstavecseseznamem"/>
              <w:ind w:left="1440"/>
              <w:jc w:val="center"/>
              <w:rPr>
                <w:rFonts w:eastAsiaTheme="minorEastAsia"/>
                <w:b/>
                <w:color w:val="2F5496" w:themeColor="accent5" w:themeShade="BF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2F5496" w:themeColor="accent5" w:themeShade="BF"/>
                  <w:sz w:val="28"/>
                  <w:szCs w:val="28"/>
                </w:rPr>
                <m:t>S=ρs</m:t>
              </m:r>
            </m:oMath>
            <w:r w:rsidR="004A03C3" w:rsidRPr="00D54802">
              <w:rPr>
                <w:rFonts w:eastAsiaTheme="minorEastAsia"/>
                <w:b/>
                <w:color w:val="2F5496" w:themeColor="accent5" w:themeShade="BF"/>
                <w:sz w:val="28"/>
                <w:szCs w:val="28"/>
              </w:rPr>
              <w:t>,</w:t>
            </w:r>
          </w:p>
          <w:p w:rsidR="004A03C3" w:rsidRPr="00362EB4" w:rsidRDefault="004A03C3" w:rsidP="004A03C3">
            <w:pPr>
              <w:pStyle w:val="Odstavecseseznamem"/>
              <w:ind w:left="1440"/>
              <w:rPr>
                <w:rFonts w:eastAsiaTheme="minorEastAsia"/>
                <w:sz w:val="28"/>
                <w:szCs w:val="28"/>
              </w:rPr>
            </w:pPr>
            <w:r w:rsidRPr="00362EB4">
              <w:rPr>
                <w:rFonts w:eastAsiaTheme="minorEastAsia"/>
                <w:sz w:val="28"/>
                <w:szCs w:val="28"/>
              </w:rPr>
              <w:t xml:space="preserve">kde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2s=a+b+c+d</m:t>
              </m:r>
            </m:oMath>
            <w:r w:rsidRPr="00362EB4">
              <w:rPr>
                <w:rFonts w:eastAsiaTheme="minorEastAsia"/>
                <w:sz w:val="28"/>
                <w:szCs w:val="28"/>
              </w:rPr>
              <w:t xml:space="preserve"> a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ρ</m:t>
              </m:r>
            </m:oMath>
            <w:r w:rsidRPr="00362EB4">
              <w:rPr>
                <w:rFonts w:eastAsiaTheme="minorEastAsia"/>
                <w:sz w:val="28"/>
                <w:szCs w:val="28"/>
              </w:rPr>
              <w:t xml:space="preserve"> je poloměr </w:t>
            </w:r>
            <w:r w:rsidRPr="00362EB4">
              <w:rPr>
                <w:sz w:val="28"/>
                <w:szCs w:val="28"/>
              </w:rPr>
              <w:t>kružnice čtyřúhelníku vepsané.</w:t>
            </w:r>
          </w:p>
          <w:p w:rsidR="004A03C3" w:rsidRPr="00362EB4" w:rsidRDefault="004A03C3" w:rsidP="007C6D31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4A03C3" w:rsidRPr="00362EB4" w:rsidTr="00362EB4">
        <w:tc>
          <w:tcPr>
            <w:tcW w:w="906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4A03C3" w:rsidRPr="00362EB4" w:rsidRDefault="004A03C3" w:rsidP="004A03C3">
            <w:pPr>
              <w:pStyle w:val="Odstavecseseznamem"/>
              <w:numPr>
                <w:ilvl w:val="0"/>
                <w:numId w:val="7"/>
              </w:numPr>
              <w:rPr>
                <w:rFonts w:eastAsiaTheme="minorEastAsia"/>
                <w:sz w:val="28"/>
                <w:szCs w:val="28"/>
              </w:rPr>
            </w:pPr>
            <w:r w:rsidRPr="00362EB4">
              <w:rPr>
                <w:rFonts w:eastAsiaTheme="minorEastAsia"/>
                <w:sz w:val="28"/>
                <w:szCs w:val="28"/>
              </w:rPr>
              <w:t>Pro obsah</w:t>
            </w:r>
            <w:r w:rsidR="00831B23" w:rsidRPr="00362EB4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831B23" w:rsidRPr="00D54802">
              <w:rPr>
                <w:rFonts w:eastAsiaTheme="minorEastAsia"/>
                <w:color w:val="2F5496" w:themeColor="accent5" w:themeShade="BF"/>
                <w:sz w:val="28"/>
                <w:szCs w:val="28"/>
              </w:rPr>
              <w:t>d</w:t>
            </w:r>
            <w:r w:rsidR="00831B23" w:rsidRPr="00D54802">
              <w:rPr>
                <w:color w:val="2F5496" w:themeColor="accent5" w:themeShade="BF"/>
                <w:sz w:val="28"/>
                <w:szCs w:val="28"/>
              </w:rPr>
              <w:t>vojstředového</w:t>
            </w:r>
            <w:proofErr w:type="spellEnd"/>
            <w:r w:rsidR="00831B23" w:rsidRPr="00362EB4">
              <w:rPr>
                <w:sz w:val="28"/>
                <w:szCs w:val="28"/>
              </w:rPr>
              <w:t xml:space="preserve"> </w:t>
            </w:r>
            <w:r w:rsidRPr="00362EB4">
              <w:rPr>
                <w:sz w:val="28"/>
                <w:szCs w:val="28"/>
              </w:rPr>
              <w:t>čtyřúhelníku ABCD platí</w:t>
            </w:r>
            <w:r w:rsidR="00831B23" w:rsidRPr="00362EB4">
              <w:rPr>
                <w:sz w:val="28"/>
                <w:szCs w:val="28"/>
              </w:rPr>
              <w:t>:</w:t>
            </w:r>
            <w:r w:rsidRPr="00362EB4">
              <w:rPr>
                <w:sz w:val="28"/>
                <w:szCs w:val="28"/>
              </w:rPr>
              <w:t xml:space="preserve"> </w:t>
            </w:r>
          </w:p>
          <w:p w:rsidR="004A03C3" w:rsidRPr="00D54802" w:rsidRDefault="00D54802" w:rsidP="00831B23">
            <w:pPr>
              <w:rPr>
                <w:rFonts w:eastAsiaTheme="minorEastAsia"/>
                <w:b/>
                <w:color w:val="2F5496" w:themeColor="accent5" w:themeShade="BF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2F5496" w:themeColor="accent5" w:themeShade="BF"/>
                    <w:sz w:val="28"/>
                    <w:szCs w:val="28"/>
                  </w:rPr>
                  <m:t>S=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2F5496" w:themeColor="accent5" w:themeShade="BF"/>
                        <w:sz w:val="28"/>
                        <w:szCs w:val="28"/>
                      </w:rPr>
                      <m:t>abcd</m:t>
                    </m:r>
                  </m:e>
                </m:rad>
              </m:oMath>
            </m:oMathPara>
          </w:p>
          <w:p w:rsidR="00362EB4" w:rsidRPr="00362EB4" w:rsidRDefault="00362EB4" w:rsidP="00831B23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7C6D31" w:rsidRPr="00362EB4" w:rsidRDefault="007C6D31" w:rsidP="007C6D31">
      <w:pPr>
        <w:rPr>
          <w:rFonts w:eastAsiaTheme="minorEastAsia"/>
          <w:sz w:val="28"/>
          <w:szCs w:val="28"/>
        </w:rPr>
      </w:pPr>
    </w:p>
    <w:p w:rsidR="00831B23" w:rsidRPr="00362EB4" w:rsidRDefault="00831B23" w:rsidP="007C6D31">
      <w:pPr>
        <w:rPr>
          <w:sz w:val="28"/>
          <w:szCs w:val="28"/>
        </w:rPr>
      </w:pPr>
      <w:proofErr w:type="spellStart"/>
      <w:r w:rsidRPr="00362EB4">
        <w:rPr>
          <w:rFonts w:eastAsiaTheme="minorEastAsia"/>
          <w:sz w:val="28"/>
          <w:szCs w:val="28"/>
        </w:rPr>
        <w:t>Pozn</w:t>
      </w:r>
      <w:proofErr w:type="spellEnd"/>
      <w:r w:rsidRPr="00362EB4">
        <w:rPr>
          <w:rFonts w:eastAsiaTheme="minorEastAsia"/>
          <w:sz w:val="28"/>
          <w:szCs w:val="28"/>
        </w:rPr>
        <w:t>: N</w:t>
      </w:r>
      <w:r w:rsidRPr="00362EB4">
        <w:rPr>
          <w:sz w:val="28"/>
          <w:szCs w:val="28"/>
        </w:rPr>
        <w:t>utná a postačující podmínka z Věty 1 se často nahrazuje následující ekvivalentní podmínkou:</w:t>
      </w:r>
    </w:p>
    <w:p w:rsidR="00831B23" w:rsidRPr="00362EB4" w:rsidRDefault="00831B23" w:rsidP="007C6D31">
      <w:pPr>
        <w:rPr>
          <w:sz w:val="28"/>
          <w:szCs w:val="28"/>
        </w:rPr>
      </w:pPr>
      <w:r w:rsidRPr="00362EB4">
        <w:rPr>
          <w:b/>
          <w:color w:val="2F5496" w:themeColor="accent5" w:themeShade="BF"/>
          <w:sz w:val="28"/>
          <w:szCs w:val="28"/>
        </w:rPr>
        <w:t xml:space="preserve">Věta </w:t>
      </w:r>
      <w:r w:rsidR="00362EB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1⃰ </w:t>
      </w:r>
      <w:r w:rsidRPr="00362EB4">
        <w:rPr>
          <w:sz w:val="28"/>
          <w:szCs w:val="28"/>
        </w:rPr>
        <w:br/>
        <w:t xml:space="preserve">Konvexní čtyřúhelník </w:t>
      </w:r>
      <m:oMath>
        <m:r>
          <w:rPr>
            <w:rFonts w:ascii="Cambria Math" w:hAnsi="Cambria Math"/>
            <w:sz w:val="28"/>
            <w:szCs w:val="28"/>
          </w:rPr>
          <m:t>ABCD</m:t>
        </m:r>
      </m:oMath>
      <w:r w:rsidRPr="00362EB4">
        <w:rPr>
          <w:sz w:val="28"/>
          <w:szCs w:val="28"/>
        </w:rPr>
        <w:t xml:space="preserve"> je tětivový, právě když je některý z jeho vnitřních úhlů shodný s vedlejším úhlem u protějšího vrcholu.</w:t>
      </w:r>
    </w:p>
    <w:p w:rsidR="00831B23" w:rsidRPr="00362EB4" w:rsidRDefault="00831B23" w:rsidP="007C6D31">
      <w:pPr>
        <w:rPr>
          <w:sz w:val="28"/>
          <w:szCs w:val="28"/>
        </w:rPr>
      </w:pPr>
      <w:r w:rsidRPr="00362EB4">
        <w:rPr>
          <w:sz w:val="28"/>
          <w:szCs w:val="28"/>
        </w:rPr>
        <w:lastRenderedPageBreak/>
        <w:t>Další dvě zajímavá, málo známá a elegantní tvrzení:</w:t>
      </w:r>
    </w:p>
    <w:p w:rsidR="00831B23" w:rsidRDefault="00831B23" w:rsidP="007C6D31">
      <w:pPr>
        <w:rPr>
          <w:rFonts w:eastAsiaTheme="minorEastAsia"/>
          <w:sz w:val="28"/>
          <w:szCs w:val="28"/>
        </w:rPr>
      </w:pPr>
      <w:r w:rsidRPr="00362EB4">
        <w:rPr>
          <w:b/>
          <w:color w:val="2F5496" w:themeColor="accent5" w:themeShade="BF"/>
          <w:sz w:val="28"/>
          <w:szCs w:val="28"/>
        </w:rPr>
        <w:t>Věta 3</w:t>
      </w:r>
      <w:r w:rsidRPr="00362EB4">
        <w:rPr>
          <w:b/>
          <w:sz w:val="28"/>
          <w:szCs w:val="28"/>
        </w:rPr>
        <w:t xml:space="preserve"> </w:t>
      </w:r>
      <w:r w:rsidRPr="00362EB4">
        <w:rPr>
          <w:sz w:val="28"/>
          <w:szCs w:val="28"/>
        </w:rPr>
        <w:t xml:space="preserve">Úhlopříčky </w:t>
      </w:r>
      <m:oMath>
        <m:r>
          <w:rPr>
            <w:rFonts w:ascii="Cambria Math" w:hAnsi="Cambria Math"/>
            <w:sz w:val="28"/>
            <w:szCs w:val="28"/>
          </w:rPr>
          <m:t>AC</m:t>
        </m:r>
      </m:oMath>
      <w:r w:rsidRPr="00362EB4">
        <w:rPr>
          <w:sz w:val="28"/>
          <w:szCs w:val="28"/>
        </w:rPr>
        <w:t xml:space="preserve"> a </w:t>
      </w:r>
      <m:oMath>
        <m:r>
          <w:rPr>
            <w:rFonts w:ascii="Cambria Math" w:hAnsi="Cambria Math"/>
            <w:sz w:val="28"/>
            <w:szCs w:val="28"/>
          </w:rPr>
          <m:t>BD</m:t>
        </m:r>
      </m:oMath>
      <w:r w:rsidRPr="00362EB4">
        <w:rPr>
          <w:sz w:val="28"/>
          <w:szCs w:val="28"/>
        </w:rPr>
        <w:t xml:space="preserve"> v konvexním čtyřúhelníku </w:t>
      </w:r>
      <m:oMath>
        <m:r>
          <w:rPr>
            <w:rFonts w:ascii="Cambria Math" w:hAnsi="Cambria Math"/>
            <w:sz w:val="28"/>
            <w:szCs w:val="28"/>
          </w:rPr>
          <m:t>ABCD</m:t>
        </m:r>
      </m:oMath>
      <w:r w:rsidRPr="00362EB4">
        <w:rPr>
          <w:sz w:val="28"/>
          <w:szCs w:val="28"/>
        </w:rPr>
        <w:t xml:space="preserve"> jsou navzájem kolmé, právě když platí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362EB4">
        <w:rPr>
          <w:rFonts w:eastAsiaTheme="minorEastAsia"/>
          <w:sz w:val="28"/>
          <w:szCs w:val="28"/>
        </w:rPr>
        <w:t>.</w:t>
      </w:r>
    </w:p>
    <w:p w:rsidR="00815CE1" w:rsidRPr="00815CE1" w:rsidRDefault="00815CE1" w:rsidP="00815CE1">
      <w:pPr>
        <w:rPr>
          <w:rFonts w:eastAsiaTheme="minorEastAsia"/>
          <w:i/>
          <w:sz w:val="28"/>
          <w:szCs w:val="28"/>
        </w:rPr>
      </w:pPr>
      <w:r w:rsidRPr="00815CE1">
        <w:rPr>
          <w:rFonts w:eastAsiaTheme="minorEastAsia"/>
          <w:i/>
          <w:sz w:val="28"/>
          <w:szCs w:val="28"/>
        </w:rPr>
        <w:t>Důkaz:</w:t>
      </w:r>
    </w:p>
    <w:p w:rsidR="00831B23" w:rsidRDefault="00831B23" w:rsidP="00831B23">
      <w:pPr>
        <w:rPr>
          <w:rFonts w:eastAsiaTheme="minorEastAsia"/>
          <w:sz w:val="28"/>
          <w:szCs w:val="28"/>
        </w:rPr>
      </w:pPr>
      <w:r w:rsidRPr="00362EB4">
        <w:rPr>
          <w:b/>
          <w:color w:val="2F5496" w:themeColor="accent5" w:themeShade="BF"/>
          <w:sz w:val="28"/>
          <w:szCs w:val="28"/>
        </w:rPr>
        <w:t xml:space="preserve">Věta 4 </w:t>
      </w:r>
      <w:r w:rsidRPr="00362EB4">
        <w:rPr>
          <w:sz w:val="28"/>
          <w:szCs w:val="28"/>
        </w:rPr>
        <w:t>Úhlopříčky</w:t>
      </w:r>
      <m:oMath>
        <m:r>
          <w:rPr>
            <w:rFonts w:ascii="Cambria Math" w:hAnsi="Cambria Math"/>
            <w:sz w:val="28"/>
            <w:szCs w:val="28"/>
          </w:rPr>
          <m:t xml:space="preserve"> AC</m:t>
        </m:r>
      </m:oMath>
      <w:r w:rsidRPr="00362EB4">
        <w:rPr>
          <w:sz w:val="28"/>
          <w:szCs w:val="28"/>
        </w:rPr>
        <w:t xml:space="preserve"> a </w:t>
      </w:r>
      <m:oMath>
        <m:r>
          <w:rPr>
            <w:rFonts w:ascii="Cambria Math" w:hAnsi="Cambria Math"/>
            <w:sz w:val="28"/>
            <w:szCs w:val="28"/>
          </w:rPr>
          <m:t>BD</m:t>
        </m:r>
      </m:oMath>
      <w:r w:rsidRPr="00362EB4">
        <w:rPr>
          <w:sz w:val="28"/>
          <w:szCs w:val="28"/>
        </w:rPr>
        <w:t xml:space="preserve"> v tečnovém čtyřúhelníku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362EB4">
        <w:rPr>
          <w:sz w:val="28"/>
          <w:szCs w:val="28"/>
        </w:rPr>
        <w:t xml:space="preserve">D jsou navzájem kolmé, právě když platí </w:t>
      </w:r>
      <m:oMath>
        <m:r>
          <w:rPr>
            <w:rFonts w:ascii="Cambria Math" w:hAnsi="Cambria Math"/>
            <w:sz w:val="28"/>
            <w:szCs w:val="28"/>
          </w:rPr>
          <m:t>ac=bd</m:t>
        </m:r>
      </m:oMath>
      <w:r w:rsidRPr="00362EB4">
        <w:rPr>
          <w:rFonts w:eastAsiaTheme="minorEastAsia"/>
          <w:sz w:val="28"/>
          <w:szCs w:val="28"/>
        </w:rPr>
        <w:t>.</w:t>
      </w:r>
    </w:p>
    <w:p w:rsidR="00815CE1" w:rsidRPr="00815CE1" w:rsidRDefault="00815CE1" w:rsidP="00815CE1">
      <w:pPr>
        <w:rPr>
          <w:rFonts w:eastAsiaTheme="minorEastAsia"/>
          <w:i/>
          <w:sz w:val="28"/>
          <w:szCs w:val="28"/>
        </w:rPr>
      </w:pPr>
      <w:r w:rsidRPr="00815CE1">
        <w:rPr>
          <w:rFonts w:eastAsiaTheme="minorEastAsia"/>
          <w:i/>
          <w:sz w:val="28"/>
          <w:szCs w:val="28"/>
        </w:rPr>
        <w:t>Důkaz:</w:t>
      </w:r>
    </w:p>
    <w:p w:rsidR="00D024CD" w:rsidRDefault="00D024CD" w:rsidP="00D024CD">
      <w:pPr>
        <w:rPr>
          <w:rFonts w:eastAsiaTheme="minorEastAsia"/>
          <w:sz w:val="28"/>
          <w:szCs w:val="28"/>
        </w:rPr>
      </w:pPr>
      <w:bookmarkStart w:id="0" w:name="_GoBack"/>
      <w:bookmarkEnd w:id="0"/>
      <w:r w:rsidRPr="00D024CD">
        <w:rPr>
          <w:rFonts w:eastAsiaTheme="minorEastAsia"/>
          <w:i/>
          <w:sz w:val="28"/>
          <w:szCs w:val="28"/>
        </w:rPr>
        <w:t>Cvičení 1.</w:t>
      </w:r>
      <w:r w:rsidRPr="00D024CD">
        <w:rPr>
          <w:rFonts w:eastAsiaTheme="minorEastAsia"/>
          <w:sz w:val="28"/>
          <w:szCs w:val="28"/>
        </w:rPr>
        <w:t xml:space="preserve"> Odvoďte vzorec </w:t>
      </w:r>
      <m:oMath>
        <m:r>
          <w:rPr>
            <w:rFonts w:ascii="Cambria Math" w:eastAsiaTheme="minorEastAsia" w:hAnsi="Cambria Math"/>
            <w:sz w:val="28"/>
            <w:szCs w:val="28"/>
          </w:rPr>
          <m:t>S=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abcd</m:t>
            </m:r>
          </m:e>
        </m:rad>
      </m:oMath>
      <w:r w:rsidRPr="00D024CD">
        <w:rPr>
          <w:rFonts w:eastAsiaTheme="minorEastAsia"/>
          <w:sz w:val="28"/>
          <w:szCs w:val="28"/>
        </w:rPr>
        <w:t xml:space="preserve"> z </w:t>
      </w:r>
      <w:proofErr w:type="spellStart"/>
      <w:r w:rsidRPr="00D024CD">
        <w:rPr>
          <w:sz w:val="28"/>
          <w:szCs w:val="28"/>
        </w:rPr>
        <w:t>Brahmagupt</w:t>
      </w:r>
      <w:r>
        <w:rPr>
          <w:sz w:val="28"/>
          <w:szCs w:val="28"/>
        </w:rPr>
        <w:t>ova</w:t>
      </w:r>
      <w:proofErr w:type="spellEnd"/>
      <w:r w:rsidRPr="00D024CD">
        <w:rPr>
          <w:sz w:val="28"/>
          <w:szCs w:val="28"/>
        </w:rPr>
        <w:t xml:space="preserve"> vzor</w:t>
      </w:r>
      <w:r>
        <w:rPr>
          <w:sz w:val="28"/>
          <w:szCs w:val="28"/>
        </w:rPr>
        <w:t xml:space="preserve">ce užitím vztahu </w:t>
      </w:r>
      <m:oMath>
        <m:r>
          <w:rPr>
            <w:rFonts w:ascii="Cambria Math" w:eastAsiaTheme="minorEastAsia" w:hAnsi="Cambria Math"/>
            <w:sz w:val="28"/>
            <w:szCs w:val="28"/>
          </w:rPr>
          <m:t>a+c=b+d</m:t>
        </m:r>
      </m:oMath>
      <w:r>
        <w:rPr>
          <w:rFonts w:eastAsiaTheme="minorEastAsia"/>
          <w:sz w:val="28"/>
          <w:szCs w:val="28"/>
        </w:rPr>
        <w:t>.</w:t>
      </w:r>
    </w:p>
    <w:p w:rsidR="00114A53" w:rsidRPr="00D024CD" w:rsidRDefault="00114A53" w:rsidP="00D024CD">
      <w:pPr>
        <w:rPr>
          <w:rFonts w:eastAsiaTheme="minorEastAsia"/>
          <w:sz w:val="28"/>
          <w:szCs w:val="28"/>
        </w:rPr>
      </w:pPr>
    </w:p>
    <w:p w:rsidR="00D024CD" w:rsidRPr="00D54802" w:rsidRDefault="00D024CD" w:rsidP="00D024CD">
      <w:pPr>
        <w:rPr>
          <w:rFonts w:eastAsiaTheme="minorEastAsia"/>
          <w:b/>
          <w:color w:val="2F5496" w:themeColor="accent5" w:themeShade="BF"/>
          <w:sz w:val="28"/>
          <w:szCs w:val="28"/>
        </w:rPr>
      </w:pPr>
    </w:p>
    <w:p w:rsidR="00831B23" w:rsidRPr="00362EB4" w:rsidRDefault="00831B23" w:rsidP="007C6D31">
      <w:pPr>
        <w:rPr>
          <w:rFonts w:eastAsiaTheme="minorEastAsia"/>
          <w:sz w:val="28"/>
          <w:szCs w:val="28"/>
        </w:rPr>
      </w:pPr>
    </w:p>
    <w:p w:rsidR="007C6D31" w:rsidRPr="007C6D31" w:rsidRDefault="007C6D31" w:rsidP="007C6D31">
      <w:pPr>
        <w:rPr>
          <w:rFonts w:eastAsiaTheme="minorEastAsia"/>
        </w:rPr>
      </w:pPr>
    </w:p>
    <w:p w:rsidR="007C6D31" w:rsidRPr="007C6D31" w:rsidRDefault="007C6D31" w:rsidP="00394C50">
      <w:pPr>
        <w:rPr>
          <w:rFonts w:eastAsiaTheme="minorEastAsia"/>
        </w:rPr>
      </w:pPr>
    </w:p>
    <w:sectPr w:rsidR="007C6D31" w:rsidRPr="007C6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C27"/>
    <w:multiLevelType w:val="hybridMultilevel"/>
    <w:tmpl w:val="D6ECBC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6203"/>
    <w:multiLevelType w:val="hybridMultilevel"/>
    <w:tmpl w:val="21A88728"/>
    <w:lvl w:ilvl="0" w:tplc="201A0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02DD"/>
    <w:multiLevelType w:val="hybridMultilevel"/>
    <w:tmpl w:val="CC2AE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86AF6"/>
    <w:multiLevelType w:val="hybridMultilevel"/>
    <w:tmpl w:val="38B867A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B3B5F"/>
    <w:multiLevelType w:val="hybridMultilevel"/>
    <w:tmpl w:val="405695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53D05"/>
    <w:multiLevelType w:val="hybridMultilevel"/>
    <w:tmpl w:val="38B867A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CE2B80"/>
    <w:multiLevelType w:val="hybridMultilevel"/>
    <w:tmpl w:val="FC6EC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C2993"/>
    <w:multiLevelType w:val="hybridMultilevel"/>
    <w:tmpl w:val="B302C2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F5BD6"/>
    <w:multiLevelType w:val="hybridMultilevel"/>
    <w:tmpl w:val="F1DC1C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B7"/>
    <w:rsid w:val="00085FB7"/>
    <w:rsid w:val="00114A53"/>
    <w:rsid w:val="001B2BF4"/>
    <w:rsid w:val="003038B9"/>
    <w:rsid w:val="00362EB4"/>
    <w:rsid w:val="00394C50"/>
    <w:rsid w:val="003E4235"/>
    <w:rsid w:val="004A03C3"/>
    <w:rsid w:val="00513EF9"/>
    <w:rsid w:val="006D64C4"/>
    <w:rsid w:val="007C6D31"/>
    <w:rsid w:val="00815CE1"/>
    <w:rsid w:val="00831B23"/>
    <w:rsid w:val="00BA5B6E"/>
    <w:rsid w:val="00D024CD"/>
    <w:rsid w:val="00D54802"/>
    <w:rsid w:val="00D95B68"/>
    <w:rsid w:val="00DC185C"/>
    <w:rsid w:val="00E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1D53"/>
  <w15:chartTrackingRefBased/>
  <w15:docId w15:val="{0C4B1765-B342-4099-B6BB-7CF36FD3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5FB7"/>
    <w:rPr>
      <w:color w:val="0000FF"/>
      <w:u w:val="single"/>
    </w:rPr>
  </w:style>
  <w:style w:type="table" w:styleId="Mkatabulky">
    <w:name w:val="Table Grid"/>
    <w:basedOn w:val="Normlntabulka"/>
    <w:uiPriority w:val="39"/>
    <w:rsid w:val="00D95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95B6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C6D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Marie Chodorová, Ph.D.</dc:creator>
  <cp:keywords/>
  <dc:description/>
  <cp:lastModifiedBy>RNDr. Marie Chodorová, Ph.D.</cp:lastModifiedBy>
  <cp:revision>5</cp:revision>
  <dcterms:created xsi:type="dcterms:W3CDTF">2021-11-04T16:48:00Z</dcterms:created>
  <dcterms:modified xsi:type="dcterms:W3CDTF">2021-11-10T18:29:00Z</dcterms:modified>
</cp:coreProperties>
</file>